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_GBK" w:hAnsi="方正仿宋_GBK" w:eastAsia="方正仿宋_GBK" w:cs="方正仿宋_GBK"/>
          <w:color w:val="auto"/>
          <w:sz w:val="32"/>
          <w:szCs w:val="32"/>
        </w:rPr>
      </w:pPr>
      <w:bookmarkStart w:id="0" w:name="_Toc24607"/>
      <w:bookmarkStart w:id="1" w:name="_Toc20371"/>
      <w:r>
        <w:rPr>
          <w:rFonts w:hint="eastAsia" w:ascii="方正仿宋_GBK" w:hAnsi="方正仿宋_GBK" w:eastAsia="方正仿宋_GBK" w:cs="方正仿宋_GBK"/>
          <w:color w:val="auto"/>
          <w:sz w:val="32"/>
          <w:szCs w:val="32"/>
        </w:rPr>
        <w:t>项目名称：</w:t>
      </w:r>
      <w:r>
        <w:rPr>
          <w:rFonts w:hint="eastAsia" w:ascii="方正仿宋_GBK" w:hAnsi="方正仿宋_GBK" w:eastAsia="方正仿宋_GBK" w:cs="方正仿宋_GBK"/>
          <w:color w:val="auto"/>
          <w:sz w:val="32"/>
          <w:szCs w:val="32"/>
          <w:lang w:val="en-US" w:eastAsia="zh-CN" w:bidi="ar"/>
        </w:rPr>
        <w:t>补充医疗保险项目</w:t>
      </w: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jc w:val="left"/>
        <w:rPr>
          <w:rFonts w:ascii="宋体" w:hAnsi="宋体" w:cs="方正仿宋_GBK"/>
          <w:color w:val="auto"/>
          <w:sz w:val="32"/>
          <w:szCs w:val="32"/>
        </w:rPr>
      </w:pPr>
      <w:r>
        <w:rPr>
          <w:rFonts w:hint="eastAsia" w:ascii="宋体" w:hAnsi="宋体" w:cs="方正仿宋_GBK"/>
          <w:color w:val="auto"/>
          <w:sz w:val="32"/>
          <w:szCs w:val="32"/>
        </w:rPr>
        <w:tab/>
      </w: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jc w:val="center"/>
        <w:rPr>
          <w:rFonts w:ascii="方正小标宋_GBK" w:hAnsi="方正小标宋_GBK" w:eastAsia="方正小标宋_GBK" w:cs="方正小标宋_GBK"/>
          <w:color w:val="auto"/>
          <w:sz w:val="72"/>
          <w:szCs w:val="72"/>
        </w:rPr>
      </w:pPr>
      <w:r>
        <w:rPr>
          <w:rFonts w:hint="eastAsia" w:ascii="方正小标宋_GBK" w:hAnsi="方正小标宋_GBK" w:eastAsia="方正小标宋_GBK" w:cs="方正小标宋_GBK"/>
          <w:color w:val="auto"/>
          <w:sz w:val="72"/>
          <w:szCs w:val="72"/>
        </w:rPr>
        <w:t>竞争性磋商文件</w:t>
      </w: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jc w:val="left"/>
        <w:rPr>
          <w:rFonts w:ascii="宋体" w:hAnsi="宋体" w:cs="方正仿宋_GBK"/>
          <w:color w:val="auto"/>
          <w:sz w:val="32"/>
          <w:szCs w:val="32"/>
        </w:rPr>
      </w:pPr>
    </w:p>
    <w:p>
      <w:pPr>
        <w:rPr>
          <w:rFonts w:ascii="宋体" w:hAnsi="宋体" w:cs="方正仿宋_GBK"/>
          <w:color w:val="auto"/>
          <w:sz w:val="32"/>
          <w:szCs w:val="32"/>
        </w:rPr>
      </w:pPr>
    </w:p>
    <w:p>
      <w:pPr>
        <w:rPr>
          <w:rFonts w:ascii="宋体" w:hAnsi="宋体" w:cs="方正仿宋_GBK"/>
          <w:color w:val="auto"/>
          <w:sz w:val="32"/>
          <w:szCs w:val="32"/>
        </w:rPr>
      </w:pPr>
    </w:p>
    <w:p>
      <w:pPr>
        <w:rPr>
          <w:rFonts w:ascii="宋体" w:hAnsi="宋体" w:cs="方正仿宋_GBK"/>
          <w:color w:val="auto"/>
          <w:sz w:val="32"/>
          <w:szCs w:val="32"/>
        </w:rPr>
      </w:pPr>
    </w:p>
    <w:p>
      <w:pPr>
        <w:rPr>
          <w:rFonts w:ascii="宋体" w:hAnsi="宋体" w:cs="方正仿宋_GBK"/>
          <w:color w:val="auto"/>
          <w:sz w:val="32"/>
          <w:szCs w:val="32"/>
        </w:rPr>
      </w:pPr>
    </w:p>
    <w:p>
      <w:pPr>
        <w:jc w:val="center"/>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重庆农畜产品交易所股份有限公司</w:t>
      </w:r>
    </w:p>
    <w:p>
      <w:pPr>
        <w:jc w:val="center"/>
        <w:rPr>
          <w:rFonts w:hint="eastAsia" w:ascii="方正黑体简体" w:hAnsi="方正黑体简体" w:eastAsia="方正黑体简体" w:cs="方正黑体简体"/>
          <w:color w:val="auto"/>
          <w:sz w:val="32"/>
          <w:szCs w:val="32"/>
          <w:lang w:val="en-US" w:eastAsia="zh-CN"/>
        </w:rPr>
      </w:pPr>
      <w:r>
        <w:rPr>
          <w:rFonts w:hint="eastAsia" w:ascii="方正黑体简体" w:hAnsi="方正黑体简体" w:eastAsia="方正黑体简体" w:cs="方正黑体简体"/>
          <w:color w:val="auto"/>
          <w:sz w:val="32"/>
          <w:szCs w:val="32"/>
          <w:lang w:val="en-US" w:eastAsia="zh-CN"/>
        </w:rPr>
        <w:t>重庆农蓄科技发展有限公司</w:t>
      </w:r>
    </w:p>
    <w:p>
      <w:pPr>
        <w:jc w:val="center"/>
        <w:rPr>
          <w:rFonts w:hint="eastAsia" w:ascii="宋体" w:hAnsi="宋体" w:eastAsia="方正黑体简体"/>
          <w:color w:val="auto"/>
          <w:kern w:val="44"/>
          <w:sz w:val="32"/>
          <w:szCs w:val="32"/>
          <w:lang w:val="en-US" w:eastAsia="zh-CN"/>
        </w:rPr>
        <w:sectPr>
          <w:headerReference r:id="rId3" w:type="default"/>
          <w:footerReference r:id="rId4" w:type="default"/>
          <w:pgSz w:w="11906" w:h="16838"/>
          <w:pgMar w:top="1440" w:right="1684" w:bottom="1440" w:left="1684" w:header="964"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r>
        <w:rPr>
          <w:rFonts w:hint="eastAsia" w:ascii="方正黑体简体" w:hAnsi="方正黑体简体" w:eastAsia="方正黑体简体" w:cs="方正黑体简体"/>
          <w:color w:val="auto"/>
          <w:sz w:val="32"/>
          <w:szCs w:val="32"/>
        </w:rPr>
        <w:t>202</w:t>
      </w:r>
      <w:r>
        <w:rPr>
          <w:rFonts w:hint="eastAsia" w:ascii="方正黑体简体" w:hAnsi="方正黑体简体" w:eastAsia="方正黑体简体" w:cs="方正黑体简体"/>
          <w:color w:val="auto"/>
          <w:sz w:val="32"/>
          <w:szCs w:val="32"/>
          <w:lang w:val="en-US" w:eastAsia="zh-CN"/>
        </w:rPr>
        <w:t>3</w:t>
      </w:r>
      <w:r>
        <w:rPr>
          <w:rFonts w:hint="eastAsia" w:ascii="方正黑体简体" w:hAnsi="方正黑体简体" w:eastAsia="方正黑体简体" w:cs="方正黑体简体"/>
          <w:color w:val="auto"/>
          <w:sz w:val="32"/>
          <w:szCs w:val="32"/>
        </w:rPr>
        <w:t>年</w:t>
      </w:r>
      <w:r>
        <w:rPr>
          <w:rFonts w:hint="eastAsia" w:ascii="方正黑体简体" w:hAnsi="方正黑体简体" w:eastAsia="方正黑体简体" w:cs="方正黑体简体"/>
          <w:color w:val="auto"/>
          <w:sz w:val="32"/>
          <w:szCs w:val="32"/>
          <w:lang w:val="en-US" w:eastAsia="zh-CN"/>
        </w:rPr>
        <w:t>5月</w:t>
      </w:r>
    </w:p>
    <w:p>
      <w:pPr>
        <w:pStyle w:val="16"/>
        <w:tabs>
          <w:tab w:val="right" w:leader="dot" w:pos="8312"/>
        </w:tabs>
        <w:spacing w:line="600" w:lineRule="exact"/>
        <w:jc w:val="center"/>
        <w:rPr>
          <w:rFonts w:hint="eastAsia" w:ascii="方正仿宋_GBK" w:hAnsi="方正仿宋_GBK" w:eastAsia="方正仿宋_GBK" w:cs="方正仿宋_GBK"/>
          <w:b w:val="0"/>
          <w:bCs w:val="0"/>
          <w:kern w:val="2"/>
          <w:sz w:val="44"/>
          <w:szCs w:val="44"/>
          <w:highlight w:val="none"/>
          <w:lang w:val="en-US" w:eastAsia="zh-CN"/>
        </w:rPr>
      </w:pPr>
      <w:bookmarkStart w:id="2" w:name="_Toc31822"/>
      <w:bookmarkStart w:id="3" w:name="_Toc30052"/>
      <w:bookmarkStart w:id="4" w:name="_Toc10101"/>
      <w:bookmarkStart w:id="5" w:name="_Toc5694"/>
      <w:r>
        <w:rPr>
          <w:rFonts w:hint="eastAsia" w:ascii="方正仿宋_GBK" w:hAnsi="方正仿宋_GBK" w:eastAsia="方正仿宋_GBK" w:cs="方正仿宋_GBK"/>
          <w:b w:val="0"/>
          <w:bCs w:val="0"/>
          <w:kern w:val="2"/>
          <w:sz w:val="44"/>
          <w:szCs w:val="44"/>
          <w:highlight w:val="none"/>
          <w:lang w:val="en-US" w:eastAsia="zh-CN"/>
        </w:rPr>
        <w:t>目录</w:t>
      </w:r>
    </w:p>
    <w:p>
      <w:pPr>
        <w:rPr>
          <w:rFonts w:hint="eastAsia"/>
          <w:lang w:val="en-US" w:eastAsia="zh-CN"/>
        </w:rPr>
      </w:pP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sz w:val="32"/>
          <w:szCs w:val="32"/>
          <w:highlight w:val="yellow"/>
        </w:rPr>
        <w:fldChar w:fldCharType="begin"/>
      </w:r>
      <w:r>
        <w:rPr>
          <w:rFonts w:hint="eastAsia" w:ascii="方正仿宋_GBK" w:hAnsi="方正仿宋_GBK" w:eastAsia="方正仿宋_GBK" w:cs="方正仿宋_GBK"/>
          <w:bCs/>
          <w:color w:val="auto"/>
          <w:sz w:val="32"/>
          <w:szCs w:val="32"/>
          <w:highlight w:val="yellow"/>
        </w:rPr>
        <w:instrText xml:space="preserve">TOC \o "1-3" \h \u </w:instrText>
      </w:r>
      <w:r>
        <w:rPr>
          <w:rFonts w:hint="eastAsia" w:ascii="方正仿宋_GBK" w:hAnsi="方正仿宋_GBK" w:eastAsia="方正仿宋_GBK" w:cs="方正仿宋_GBK"/>
          <w:bCs/>
          <w:color w:val="auto"/>
          <w:sz w:val="32"/>
          <w:szCs w:val="32"/>
          <w:highlight w:val="yellow"/>
        </w:rPr>
        <w:fldChar w:fldCharType="separate"/>
      </w: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_Toc19557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第一部分 邀请函</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_Toc19557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_Toc25833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第二部分 响应人须知</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_Toc25833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4</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_Toc22431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1总则</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_Toc22431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4</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_Toc7787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2评审</w:t>
      </w:r>
      <w:r>
        <w:rPr>
          <w:rFonts w:hint="eastAsia" w:ascii="方正仿宋_GBK" w:hAnsi="方正仿宋_GBK" w:eastAsia="方正仿宋_GBK" w:cs="方正仿宋_GBK"/>
          <w:kern w:val="2"/>
          <w:sz w:val="32"/>
          <w:szCs w:val="32"/>
          <w:lang w:val="en-US" w:eastAsia="zh-CN" w:bidi="ar-SA"/>
        </w:rPr>
        <w:t>原则</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_Toc7787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6</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_Toc12849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3项目的成交</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_Toc12849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9</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_Toc12175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
        </w:rPr>
        <w:t>第三部分 项目需求书</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_Toc12175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11</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_Toc31189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1投保范围</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_Toc31189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11</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_Toc20116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2服务范围</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_Toc20116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11</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6"/>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_Toc1423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第四部分 响应文件格式</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_Toc1423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12</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_Toc4395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1评分索引</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_Toc4395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13</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_Toc11296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2报价一览表格式</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_Toc11296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16</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_Toc29589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3法定代表人授权书格式</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_Toc29589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17</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_Toc7973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lang w:val="en-US" w:eastAsia="zh-CN" w:bidi="ar-SA"/>
        </w:rPr>
        <w:t>4资质证明文件格式</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_Toc7973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19</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7"/>
        <w:keepNext w:val="0"/>
        <w:keepLines w:val="0"/>
        <w:pageBreakBefore w:val="0"/>
        <w:widowControl w:val="0"/>
        <w:tabs>
          <w:tab w:val="right" w:leader="dot" w:pos="8312"/>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Cs/>
          <w:color w:val="auto"/>
          <w:kern w:val="2"/>
          <w:sz w:val="32"/>
          <w:szCs w:val="32"/>
          <w:highlight w:val="yellow"/>
          <w:lang w:val="en-US" w:eastAsia="zh-CN" w:bidi="ar-SA"/>
        </w:rPr>
        <w:fldChar w:fldCharType="begin"/>
      </w:r>
      <w:r>
        <w:rPr>
          <w:rFonts w:hint="eastAsia" w:ascii="方正仿宋_GBK" w:hAnsi="方正仿宋_GBK" w:eastAsia="方正仿宋_GBK" w:cs="方正仿宋_GBK"/>
          <w:bCs/>
          <w:color w:val="auto"/>
          <w:kern w:val="2"/>
          <w:sz w:val="32"/>
          <w:szCs w:val="32"/>
          <w:highlight w:val="yellow"/>
          <w:lang w:val="en-US" w:eastAsia="zh-CN" w:bidi="ar-SA"/>
        </w:rPr>
        <w:instrText xml:space="preserve"> HYPERLINK \l _Toc30171 </w:instrText>
      </w:r>
      <w:r>
        <w:rPr>
          <w:rFonts w:hint="eastAsia" w:ascii="方正仿宋_GBK" w:hAnsi="方正仿宋_GBK" w:eastAsia="方正仿宋_GBK" w:cs="方正仿宋_GBK"/>
          <w:bCs/>
          <w:color w:val="auto"/>
          <w:kern w:val="2"/>
          <w:sz w:val="32"/>
          <w:szCs w:val="32"/>
          <w:highlight w:val="yellow"/>
          <w:lang w:val="en-US" w:eastAsia="zh-CN" w:bidi="ar-SA"/>
        </w:rPr>
        <w:fldChar w:fldCharType="separate"/>
      </w:r>
      <w:r>
        <w:rPr>
          <w:rFonts w:hint="eastAsia" w:ascii="方正仿宋_GBK" w:hAnsi="方正仿宋_GBK" w:eastAsia="方正仿宋_GBK" w:cs="方正仿宋_GBK"/>
          <w:bCs w:val="0"/>
          <w:kern w:val="2"/>
          <w:sz w:val="32"/>
          <w:szCs w:val="32"/>
          <w:highlight w:val="none"/>
          <w:lang w:val="en-US" w:eastAsia="zh-CN" w:bidi="ar-SA"/>
        </w:rPr>
        <w:t>5实施方案书</w:t>
      </w:r>
      <w:r>
        <w:rPr>
          <w:rFonts w:hint="eastAsia" w:ascii="方正仿宋_GBK" w:hAnsi="方正仿宋_GBK" w:eastAsia="方正仿宋_GBK" w:cs="方正仿宋_GBK"/>
          <w:kern w:val="2"/>
          <w:sz w:val="32"/>
          <w:szCs w:val="32"/>
          <w:lang w:val="en-US" w:eastAsia="zh-CN" w:bidi="ar-SA"/>
        </w:rPr>
        <w:tab/>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 PAGEREF _Toc30171 </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24</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bCs/>
          <w:color w:val="auto"/>
          <w:kern w:val="2"/>
          <w:sz w:val="32"/>
          <w:szCs w:val="32"/>
          <w:highlight w:val="yellow"/>
          <w:lang w:val="en-US" w:eastAsia="zh-CN" w:bidi="ar-SA"/>
        </w:rPr>
        <w:fldChar w:fldCharType="end"/>
      </w:r>
    </w:p>
    <w:p>
      <w:pPr>
        <w:pStyle w:val="12"/>
        <w:tabs>
          <w:tab w:val="right" w:leader="dot" w:pos="8312"/>
        </w:tabs>
        <w:ind w:left="0" w:leftChars="0" w:firstLine="0" w:firstLineChars="0"/>
        <w:rPr>
          <w:rFonts w:ascii="方正黑体简体" w:hAnsi="方正黑体简体" w:eastAsia="方正黑体简体" w:cs="方正黑体简体"/>
          <w:color w:val="0000FF"/>
          <w:sz w:val="44"/>
        </w:rPr>
        <w:sectPr>
          <w:footerReference r:id="rId5" w:type="default"/>
          <w:pgSz w:w="11906" w:h="16838"/>
          <w:pgMar w:top="1440" w:right="1797" w:bottom="1440" w:left="1797" w:header="964"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r>
        <w:rPr>
          <w:rFonts w:hint="eastAsia" w:ascii="方正仿宋_GBK" w:hAnsi="方正仿宋_GBK" w:eastAsia="方正仿宋_GBK" w:cs="方正仿宋_GBK"/>
          <w:bCs/>
          <w:color w:val="auto"/>
          <w:kern w:val="2"/>
          <w:szCs w:val="32"/>
          <w:highlight w:val="yellow"/>
          <w:lang w:val="en-US" w:eastAsia="zh-CN" w:bidi="ar-SA"/>
        </w:rPr>
        <w:fldChar w:fldCharType="end"/>
      </w:r>
      <w:bookmarkStart w:id="6" w:name="_Toc29853"/>
      <w:bookmarkStart w:id="7" w:name="_Toc5556"/>
      <w:bookmarkStart w:id="8" w:name="_Toc22047"/>
    </w:p>
    <w:p>
      <w:pPr>
        <w:pStyle w:val="4"/>
        <w:numPr>
          <w:ilvl w:val="1"/>
          <w:numId w:val="0"/>
        </w:numPr>
        <w:jc w:val="center"/>
        <w:rPr>
          <w:rFonts w:ascii="方正黑体简体" w:hAnsi="方正黑体简体" w:eastAsia="方正黑体简体" w:cs="方正黑体简体"/>
          <w:color w:val="auto"/>
        </w:rPr>
      </w:pPr>
      <w:bookmarkStart w:id="9" w:name="_Toc16288"/>
      <w:bookmarkStart w:id="10" w:name="_Toc28633"/>
      <w:bookmarkStart w:id="11" w:name="_Toc10272"/>
      <w:bookmarkStart w:id="12" w:name="_Toc19557"/>
      <w:bookmarkStart w:id="13" w:name="_Toc16899"/>
      <w:bookmarkStart w:id="14" w:name="_Toc4471"/>
      <w:bookmarkStart w:id="15" w:name="_Toc22570"/>
      <w:bookmarkStart w:id="16" w:name="_Toc21314"/>
      <w:bookmarkStart w:id="17" w:name="_Toc3959"/>
      <w:bookmarkStart w:id="18" w:name="_Toc3898"/>
      <w:bookmarkStart w:id="19" w:name="_Toc442"/>
      <w:bookmarkStart w:id="20" w:name="_Toc21461"/>
      <w:bookmarkStart w:id="21" w:name="_Toc3205"/>
      <w:r>
        <w:rPr>
          <w:rFonts w:hint="eastAsia" w:ascii="方正黑体简体" w:hAnsi="方正黑体简体" w:eastAsia="方正黑体简体" w:cs="方正黑体简体"/>
          <w:color w:val="auto"/>
          <w:sz w:val="44"/>
        </w:rPr>
        <w:t>第一部分</w:t>
      </w:r>
      <w:r>
        <w:rPr>
          <w:rFonts w:hint="eastAsia" w:ascii="方正黑体简体" w:hAnsi="方正黑体简体" w:eastAsia="方正黑体简体" w:cs="方正黑体简体"/>
          <w:color w:val="auto"/>
          <w:sz w:val="44"/>
          <w:lang w:val="en-US" w:eastAsia="zh-CN"/>
        </w:rPr>
        <w:t xml:space="preserve"> </w:t>
      </w:r>
      <w:r>
        <w:rPr>
          <w:rFonts w:hint="eastAsia" w:ascii="方正黑体简体" w:hAnsi="方正黑体简体" w:eastAsia="方正黑体简体" w:cs="方正黑体简体"/>
          <w:color w:val="auto"/>
          <w:sz w:val="44"/>
        </w:rPr>
        <w:t>邀请函</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600" w:lineRule="exact"/>
        <w:ind w:firstLine="640" w:firstLineChars="200"/>
        <w:rPr>
          <w:rFonts w:ascii="方正仿宋_GBK" w:hAnsi="方正仿宋_GBK" w:eastAsia="方正仿宋_GBK" w:cs="方正仿宋_GBK"/>
          <w:color w:val="auto"/>
          <w:sz w:val="32"/>
          <w:szCs w:val="32"/>
        </w:rPr>
      </w:pP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重庆农畜产品交易所股份有限公司、</w:t>
      </w:r>
      <w:bookmarkStart w:id="22" w:name="OLE_LINK3"/>
      <w:r>
        <w:rPr>
          <w:rFonts w:hint="eastAsia" w:ascii="方正仿宋_GBK" w:hAnsi="方正仿宋_GBK" w:eastAsia="方正仿宋_GBK" w:cs="方正仿宋_GBK"/>
          <w:color w:val="auto"/>
          <w:sz w:val="32"/>
          <w:szCs w:val="32"/>
          <w:lang w:val="en-US" w:eastAsia="zh-CN"/>
        </w:rPr>
        <w:t>重庆农蓄科技发展有限公司</w:t>
      </w:r>
      <w:bookmarkEnd w:id="22"/>
      <w:r>
        <w:rPr>
          <w:rFonts w:hint="eastAsia" w:ascii="方正仿宋_GBK" w:hAnsi="方正仿宋_GBK" w:eastAsia="方正仿宋_GBK" w:cs="方正仿宋_GBK"/>
          <w:color w:val="auto"/>
          <w:sz w:val="32"/>
          <w:szCs w:val="32"/>
        </w:rPr>
        <w:t>（以下简称“</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”）拟实施</w:t>
      </w:r>
      <w:r>
        <w:rPr>
          <w:rFonts w:hint="eastAsia" w:ascii="方正仿宋_GBK" w:hAnsi="方正仿宋_GBK" w:eastAsia="方正仿宋_GBK" w:cs="方正仿宋_GBK"/>
          <w:color w:val="auto"/>
          <w:sz w:val="32"/>
          <w:szCs w:val="32"/>
          <w:u w:val="single"/>
          <w:lang w:eastAsia="zh-CN"/>
        </w:rPr>
        <w:t>补充医疗保险项目</w:t>
      </w:r>
      <w:r>
        <w:rPr>
          <w:rFonts w:hint="eastAsia" w:ascii="方正仿宋_GBK" w:hAnsi="方正仿宋_GBK" w:eastAsia="方正仿宋_GBK" w:cs="方正仿宋_GBK"/>
          <w:color w:val="auto"/>
          <w:sz w:val="32"/>
          <w:szCs w:val="32"/>
        </w:rPr>
        <w:t>采购，现邀请合格的</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前来参与该项目竞争性磋商，通过评审择优选定</w:t>
      </w:r>
      <w:r>
        <w:rPr>
          <w:rFonts w:hint="eastAsia" w:ascii="方正仿宋_GBK" w:hAnsi="方正仿宋_GBK" w:eastAsia="方正仿宋_GBK" w:cs="方正仿宋_GBK"/>
          <w:color w:val="auto"/>
          <w:sz w:val="32"/>
          <w:szCs w:val="32"/>
          <w:lang w:val="en-US" w:eastAsia="zh-CN"/>
        </w:rPr>
        <w:t>成交</w:t>
      </w:r>
      <w:r>
        <w:rPr>
          <w:rFonts w:hint="eastAsia" w:ascii="方正仿宋_GBK" w:hAnsi="方正仿宋_GBK" w:eastAsia="方正仿宋_GBK" w:cs="方正仿宋_GBK"/>
          <w:color w:val="auto"/>
          <w:sz w:val="32"/>
          <w:szCs w:val="32"/>
        </w:rPr>
        <w:t>单位完成本项目。有关事项如下：</w:t>
      </w:r>
    </w:p>
    <w:p>
      <w:pPr>
        <w:numPr>
          <w:ilvl w:val="0"/>
          <w:numId w:val="2"/>
        </w:numPr>
        <w:spacing w:line="60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邀请方名称：</w:t>
      </w:r>
      <w:r>
        <w:rPr>
          <w:rFonts w:hint="eastAsia" w:ascii="方正仿宋_GBK" w:hAnsi="方正仿宋_GBK" w:eastAsia="方正仿宋_GBK" w:cs="方正仿宋_GBK"/>
          <w:color w:val="auto"/>
          <w:sz w:val="32"/>
          <w:szCs w:val="32"/>
          <w:lang w:eastAsia="zh-CN"/>
        </w:rPr>
        <w:t>重庆农畜产品交易所股份有限公司、</w:t>
      </w:r>
      <w:r>
        <w:rPr>
          <w:rFonts w:hint="eastAsia" w:ascii="方正仿宋_GBK" w:hAnsi="方正仿宋_GBK" w:eastAsia="方正仿宋_GBK" w:cs="方正仿宋_GBK"/>
          <w:color w:val="auto"/>
          <w:sz w:val="32"/>
          <w:szCs w:val="32"/>
          <w:lang w:val="en-US" w:eastAsia="zh-CN"/>
        </w:rPr>
        <w:t>重庆农蓄科技发展有限公司</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rPr>
        <w:t>项目名称：</w:t>
      </w:r>
      <w:r>
        <w:rPr>
          <w:rFonts w:hint="eastAsia" w:ascii="方正仿宋_GBK" w:hAnsi="方正仿宋_GBK" w:eastAsia="方正仿宋_GBK" w:cs="方正仿宋_GBK"/>
          <w:color w:val="auto"/>
          <w:sz w:val="32"/>
          <w:szCs w:val="32"/>
          <w:lang w:val="en-US" w:eastAsia="zh-CN" w:bidi="ar"/>
        </w:rPr>
        <w:t>补充医疗保险项目</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color w:val="auto"/>
          <w:sz w:val="32"/>
          <w:szCs w:val="32"/>
          <w:lang w:eastAsia="zh-CN"/>
        </w:rPr>
        <w:t>响应文件</w:t>
      </w:r>
      <w:r>
        <w:rPr>
          <w:rFonts w:hint="eastAsia" w:ascii="方正仿宋_GBK" w:hAnsi="方正仿宋_GBK" w:eastAsia="方正仿宋_GBK" w:cs="方正仿宋_GBK"/>
          <w:b/>
          <w:color w:val="auto"/>
          <w:sz w:val="32"/>
          <w:szCs w:val="32"/>
        </w:rPr>
        <w:t>份数：</w:t>
      </w:r>
      <w:r>
        <w:rPr>
          <w:rFonts w:hint="eastAsia" w:ascii="方正仿宋_GBK" w:hAnsi="方正仿宋_GBK" w:eastAsia="方正仿宋_GBK" w:cs="方正仿宋_GBK"/>
          <w:color w:val="auto"/>
          <w:sz w:val="32"/>
          <w:szCs w:val="32"/>
        </w:rPr>
        <w:t>正本一份、副本一份、电子文件（正本扫描件）一份（</w:t>
      </w:r>
      <w:bookmarkStart w:id="357" w:name="_GoBack"/>
      <w:bookmarkEnd w:id="357"/>
      <w:r>
        <w:rPr>
          <w:rFonts w:hint="eastAsia" w:ascii="方正仿宋_GBK" w:hAnsi="方正仿宋_GBK" w:eastAsia="方正仿宋_GBK" w:cs="方正仿宋_GBK"/>
          <w:color w:val="auto"/>
          <w:sz w:val="32"/>
          <w:szCs w:val="32"/>
        </w:rPr>
        <w:t>磋商时发送至电子邮箱：</w:t>
      </w:r>
      <w:r>
        <w:rPr>
          <w:rFonts w:hint="eastAsia" w:ascii="方正仿宋_GBK" w:hAnsi="方正仿宋_GBK" w:eastAsia="方正仿宋_GBK" w:cs="方正仿宋_GBK"/>
          <w:bCs/>
          <w:color w:val="auto"/>
          <w:sz w:val="32"/>
          <w:szCs w:val="32"/>
          <w:lang w:eastAsia="zh-CN" w:bidi="ar"/>
        </w:rPr>
        <w:t>zoupeihong@cqace.onaliyun.com</w:t>
      </w:r>
      <w:r>
        <w:rPr>
          <w:rFonts w:hint="eastAsia" w:ascii="方正仿宋_GBK" w:hAnsi="方正仿宋_GBK" w:eastAsia="方正仿宋_GBK" w:cs="方正仿宋_GBK"/>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b/>
          <w:bCs/>
          <w:color w:val="auto"/>
          <w:sz w:val="32"/>
          <w:szCs w:val="32"/>
          <w:lang w:val="en-US" w:eastAsia="zh-CN"/>
        </w:rPr>
        <w:t>磋商</w:t>
      </w:r>
      <w:r>
        <w:rPr>
          <w:rFonts w:hint="eastAsia" w:ascii="方正仿宋_GBK" w:hAnsi="方正仿宋_GBK" w:eastAsia="方正仿宋_GBK" w:cs="方正仿宋_GBK"/>
          <w:b/>
          <w:bCs/>
          <w:color w:val="auto"/>
          <w:sz w:val="32"/>
          <w:szCs w:val="32"/>
        </w:rPr>
        <w:t>有效期：</w:t>
      </w:r>
      <w:r>
        <w:rPr>
          <w:rFonts w:hint="eastAsia" w:ascii="方正仿宋_GBK" w:hAnsi="方正仿宋_GBK" w:eastAsia="方正仿宋_GBK" w:cs="方正仿宋_GBK"/>
          <w:color w:val="auto"/>
          <w:sz w:val="32"/>
          <w:szCs w:val="32"/>
        </w:rPr>
        <w:t>参加竞争性磋商者，请</w:t>
      </w:r>
      <w:r>
        <w:rPr>
          <w:rFonts w:hint="eastAsia" w:ascii="方正仿宋_GBK" w:hAnsi="方正仿宋_GBK" w:eastAsia="方正仿宋_GBK" w:cs="方正仿宋_GBK"/>
          <w:color w:val="auto"/>
          <w:sz w:val="32"/>
          <w:szCs w:val="32"/>
          <w:highlight w:val="none"/>
        </w:rPr>
        <w:t>于</w:t>
      </w:r>
      <w:r>
        <w:rPr>
          <w:rFonts w:hint="eastAsia" w:ascii="方正仿宋_GBK" w:hAnsi="方正仿宋_GBK" w:eastAsia="方正仿宋_GBK" w:cs="方正仿宋_GBK"/>
          <w:color w:val="auto"/>
          <w:sz w:val="32"/>
          <w:szCs w:val="32"/>
          <w:highlight w:val="none"/>
          <w:u w:val="single"/>
        </w:rPr>
        <w:t>202</w:t>
      </w:r>
      <w:r>
        <w:rPr>
          <w:rFonts w:hint="eastAsia" w:ascii="方正仿宋_GBK" w:hAnsi="方正仿宋_GBK" w:eastAsia="方正仿宋_GBK" w:cs="方正仿宋_GBK"/>
          <w:color w:val="auto"/>
          <w:sz w:val="32"/>
          <w:szCs w:val="32"/>
          <w:highlight w:val="none"/>
          <w:u w:val="single"/>
          <w:lang w:val="en-US" w:eastAsia="zh-CN"/>
        </w:rPr>
        <w:t>3</w:t>
      </w:r>
      <w:r>
        <w:rPr>
          <w:rFonts w:hint="eastAsia" w:ascii="方正仿宋_GBK" w:hAnsi="方正仿宋_GBK" w:eastAsia="方正仿宋_GBK" w:cs="方正仿宋_GBK"/>
          <w:color w:val="auto"/>
          <w:sz w:val="32"/>
          <w:szCs w:val="32"/>
          <w:highlight w:val="none"/>
          <w:u w:val="single"/>
        </w:rPr>
        <w:t>年</w:t>
      </w:r>
      <w:r>
        <w:rPr>
          <w:rFonts w:hint="eastAsia" w:ascii="方正仿宋_GBK" w:hAnsi="方正仿宋_GBK" w:eastAsia="方正仿宋_GBK" w:cs="方正仿宋_GBK"/>
          <w:color w:val="auto"/>
          <w:sz w:val="32"/>
          <w:szCs w:val="32"/>
          <w:highlight w:val="none"/>
          <w:u w:val="single"/>
          <w:lang w:val="en-US" w:eastAsia="zh-CN"/>
        </w:rPr>
        <w:t>5</w:t>
      </w:r>
      <w:r>
        <w:rPr>
          <w:rFonts w:hint="eastAsia" w:ascii="方正仿宋_GBK" w:hAnsi="方正仿宋_GBK" w:eastAsia="方正仿宋_GBK" w:cs="方正仿宋_GBK"/>
          <w:color w:val="auto"/>
          <w:sz w:val="32"/>
          <w:szCs w:val="32"/>
          <w:highlight w:val="none"/>
          <w:u w:val="single"/>
        </w:rPr>
        <w:t>月</w:t>
      </w:r>
      <w:r>
        <w:rPr>
          <w:rFonts w:hint="eastAsia" w:ascii="方正仿宋_GBK" w:hAnsi="方正仿宋_GBK" w:eastAsia="方正仿宋_GBK" w:cs="方正仿宋_GBK"/>
          <w:color w:val="auto"/>
          <w:sz w:val="32"/>
          <w:szCs w:val="32"/>
          <w:highlight w:val="none"/>
          <w:u w:val="single"/>
          <w:lang w:val="en-US" w:eastAsia="zh-CN"/>
        </w:rPr>
        <w:t>8</w:t>
      </w:r>
      <w:r>
        <w:rPr>
          <w:rFonts w:hint="eastAsia" w:ascii="方正仿宋_GBK" w:hAnsi="方正仿宋_GBK" w:eastAsia="方正仿宋_GBK" w:cs="方正仿宋_GBK"/>
          <w:color w:val="auto"/>
          <w:sz w:val="32"/>
          <w:szCs w:val="32"/>
          <w:highlight w:val="none"/>
          <w:u w:val="single"/>
        </w:rPr>
        <w:t>日起至202</w:t>
      </w:r>
      <w:r>
        <w:rPr>
          <w:rFonts w:hint="eastAsia" w:ascii="方正仿宋_GBK" w:hAnsi="方正仿宋_GBK" w:eastAsia="方正仿宋_GBK" w:cs="方正仿宋_GBK"/>
          <w:color w:val="auto"/>
          <w:sz w:val="32"/>
          <w:szCs w:val="32"/>
          <w:highlight w:val="none"/>
          <w:u w:val="single"/>
          <w:lang w:val="en-US" w:eastAsia="zh-CN"/>
        </w:rPr>
        <w:t>3</w:t>
      </w:r>
      <w:r>
        <w:rPr>
          <w:rFonts w:hint="eastAsia" w:ascii="方正仿宋_GBK" w:hAnsi="方正仿宋_GBK" w:eastAsia="方正仿宋_GBK" w:cs="方正仿宋_GBK"/>
          <w:color w:val="auto"/>
          <w:sz w:val="32"/>
          <w:szCs w:val="32"/>
          <w:highlight w:val="none"/>
          <w:u w:val="single"/>
        </w:rPr>
        <w:t>年</w:t>
      </w:r>
      <w:r>
        <w:rPr>
          <w:rFonts w:hint="eastAsia" w:ascii="方正仿宋_GBK" w:hAnsi="方正仿宋_GBK" w:eastAsia="方正仿宋_GBK" w:cs="方正仿宋_GBK"/>
          <w:color w:val="auto"/>
          <w:sz w:val="32"/>
          <w:szCs w:val="32"/>
          <w:highlight w:val="none"/>
          <w:u w:val="single"/>
          <w:lang w:val="en-US" w:eastAsia="zh-CN"/>
        </w:rPr>
        <w:t>5</w:t>
      </w:r>
      <w:r>
        <w:rPr>
          <w:rFonts w:hint="eastAsia" w:ascii="方正仿宋_GBK" w:hAnsi="方正仿宋_GBK" w:eastAsia="方正仿宋_GBK" w:cs="方正仿宋_GBK"/>
          <w:color w:val="auto"/>
          <w:sz w:val="32"/>
          <w:szCs w:val="32"/>
          <w:highlight w:val="none"/>
          <w:u w:val="single"/>
        </w:rPr>
        <w:t>月</w:t>
      </w:r>
      <w:r>
        <w:rPr>
          <w:rFonts w:hint="eastAsia" w:ascii="方正仿宋_GBK" w:hAnsi="方正仿宋_GBK" w:eastAsia="方正仿宋_GBK" w:cs="方正仿宋_GBK"/>
          <w:color w:val="auto"/>
          <w:sz w:val="32"/>
          <w:szCs w:val="32"/>
          <w:highlight w:val="none"/>
          <w:u w:val="single"/>
          <w:lang w:val="en-US" w:eastAsia="zh-CN"/>
        </w:rPr>
        <w:t>12</w:t>
      </w:r>
      <w:r>
        <w:rPr>
          <w:rFonts w:hint="eastAsia" w:ascii="方正仿宋_GBK" w:hAnsi="方正仿宋_GBK" w:eastAsia="方正仿宋_GBK" w:cs="方正仿宋_GBK"/>
          <w:color w:val="auto"/>
          <w:sz w:val="32"/>
          <w:szCs w:val="32"/>
          <w:highlight w:val="none"/>
          <w:u w:val="single"/>
        </w:rPr>
        <w:t>日</w:t>
      </w:r>
      <w:r>
        <w:rPr>
          <w:rFonts w:hint="eastAsia" w:ascii="方正仿宋_GBK" w:hAnsi="方正仿宋_GBK" w:eastAsia="方正仿宋_GBK" w:cs="方正仿宋_GBK"/>
          <w:color w:val="auto"/>
          <w:sz w:val="32"/>
          <w:szCs w:val="32"/>
          <w:highlight w:val="none"/>
          <w:u w:val="single"/>
          <w:lang w:val="en-US" w:eastAsia="zh-CN"/>
        </w:rPr>
        <w:t>24:00</w:t>
      </w:r>
      <w:r>
        <w:rPr>
          <w:rFonts w:hint="eastAsia" w:eastAsia="方正仿宋_GBK"/>
          <w:color w:val="auto"/>
          <w:sz w:val="32"/>
          <w:szCs w:val="32"/>
          <w:highlight w:val="none"/>
          <w:u w:val="single"/>
          <w:lang w:val="en-US" w:eastAsia="zh-CN"/>
        </w:rPr>
        <w:t>止</w:t>
      </w:r>
      <w:r>
        <w:rPr>
          <w:rFonts w:hint="eastAsia" w:ascii="方正仿宋_GBK" w:hAnsi="方正仿宋_GBK" w:eastAsia="方正仿宋_GBK" w:cs="方正仿宋_GBK"/>
          <w:color w:val="auto"/>
          <w:sz w:val="32"/>
          <w:szCs w:val="32"/>
          <w:highlight w:val="none"/>
        </w:rPr>
        <w:t>，登录公司网站：https://www.cqace.com/下载竞争性磋商文件。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eastAsia="方正仿宋_GBK"/>
          <w:color w:val="auto"/>
          <w:sz w:val="32"/>
          <w:szCs w:val="32"/>
        </w:rPr>
      </w:pPr>
      <w:r>
        <w:rPr>
          <w:rFonts w:hint="eastAsia" w:ascii="方正仿宋_GBK" w:hAnsi="方正仿宋_GBK" w:eastAsia="方正仿宋_GBK" w:cs="方正仿宋_GBK"/>
          <w:b/>
          <w:bCs w:val="0"/>
          <w:color w:val="auto"/>
          <w:sz w:val="32"/>
          <w:szCs w:val="32"/>
          <w:highlight w:val="none"/>
        </w:rPr>
        <w:t>竞争性磋商时间及地点：</w:t>
      </w:r>
      <w:r>
        <w:rPr>
          <w:rFonts w:hint="eastAsia" w:ascii="方正仿宋_GBK" w:hAnsi="方正仿宋_GBK" w:eastAsia="方正仿宋_GBK" w:cs="方正仿宋_GBK"/>
          <w:color w:val="auto"/>
          <w:sz w:val="32"/>
          <w:szCs w:val="32"/>
          <w:highlight w:val="none"/>
          <w:u w:val="single"/>
        </w:rPr>
        <w:t>202</w:t>
      </w:r>
      <w:r>
        <w:rPr>
          <w:rFonts w:hint="eastAsia" w:ascii="方正仿宋_GBK" w:hAnsi="方正仿宋_GBK" w:eastAsia="方正仿宋_GBK" w:cs="方正仿宋_GBK"/>
          <w:color w:val="auto"/>
          <w:sz w:val="32"/>
          <w:szCs w:val="32"/>
          <w:highlight w:val="none"/>
          <w:u w:val="single"/>
          <w:lang w:val="en-US" w:eastAsia="zh-CN"/>
        </w:rPr>
        <w:t>3</w:t>
      </w:r>
      <w:r>
        <w:rPr>
          <w:rFonts w:hint="eastAsia" w:ascii="方正仿宋_GBK" w:hAnsi="方正仿宋_GBK" w:eastAsia="方正仿宋_GBK" w:cs="方正仿宋_GBK"/>
          <w:color w:val="auto"/>
          <w:sz w:val="32"/>
          <w:szCs w:val="32"/>
          <w:highlight w:val="none"/>
          <w:u w:val="single"/>
        </w:rPr>
        <w:t>年</w:t>
      </w:r>
      <w:r>
        <w:rPr>
          <w:rFonts w:hint="eastAsia" w:ascii="方正仿宋_GBK" w:hAnsi="方正仿宋_GBK" w:eastAsia="方正仿宋_GBK" w:cs="方正仿宋_GBK"/>
          <w:color w:val="auto"/>
          <w:sz w:val="32"/>
          <w:szCs w:val="32"/>
          <w:highlight w:val="none"/>
          <w:u w:val="single"/>
          <w:lang w:val="en-US" w:eastAsia="zh-CN"/>
        </w:rPr>
        <w:t>5</w:t>
      </w:r>
      <w:r>
        <w:rPr>
          <w:rFonts w:hint="eastAsia" w:ascii="方正仿宋_GBK" w:hAnsi="方正仿宋_GBK" w:eastAsia="方正仿宋_GBK" w:cs="方正仿宋_GBK"/>
          <w:color w:val="auto"/>
          <w:sz w:val="32"/>
          <w:szCs w:val="32"/>
          <w:highlight w:val="none"/>
          <w:u w:val="single"/>
        </w:rPr>
        <w:t>月</w:t>
      </w:r>
      <w:r>
        <w:rPr>
          <w:rFonts w:hint="eastAsia" w:ascii="方正仿宋_GBK" w:hAnsi="方正仿宋_GBK" w:eastAsia="方正仿宋_GBK" w:cs="方正仿宋_GBK"/>
          <w:color w:val="auto"/>
          <w:sz w:val="32"/>
          <w:szCs w:val="32"/>
          <w:highlight w:val="none"/>
          <w:u w:val="single"/>
          <w:lang w:val="en-US" w:eastAsia="zh-CN"/>
        </w:rPr>
        <w:t>16</w:t>
      </w:r>
      <w:r>
        <w:rPr>
          <w:rFonts w:hint="eastAsia" w:ascii="方正仿宋_GBK" w:hAnsi="方正仿宋_GBK" w:eastAsia="方正仿宋_GBK" w:cs="方正仿宋_GBK"/>
          <w:color w:val="auto"/>
          <w:sz w:val="32"/>
          <w:szCs w:val="32"/>
          <w:highlight w:val="none"/>
          <w:u w:val="single"/>
        </w:rPr>
        <w:t>日</w:t>
      </w:r>
      <w:r>
        <w:rPr>
          <w:rFonts w:hint="eastAsia" w:ascii="方正仿宋_GBK" w:hAnsi="方正仿宋_GBK" w:eastAsia="方正仿宋_GBK" w:cs="方正仿宋_GBK"/>
          <w:color w:val="auto"/>
          <w:sz w:val="32"/>
          <w:szCs w:val="32"/>
          <w:highlight w:val="none"/>
          <w:u w:val="single"/>
          <w:lang w:val="en-US" w:eastAsia="zh-CN"/>
        </w:rPr>
        <w:t>15:00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会议室（重庆市渝北区</w:t>
      </w:r>
      <w:r>
        <w:rPr>
          <w:rFonts w:hint="eastAsia" w:ascii="方正仿宋_GBK" w:hAnsi="方正仿宋_GBK" w:eastAsia="方正仿宋_GBK" w:cs="方正仿宋_GBK"/>
          <w:color w:val="auto"/>
          <w:sz w:val="32"/>
          <w:szCs w:val="32"/>
          <w:lang w:val="en-US" w:eastAsia="zh-CN"/>
        </w:rPr>
        <w:t>土星商务中心B1-26楼</w:t>
      </w:r>
      <w:r>
        <w:rPr>
          <w:rFonts w:hint="eastAsia" w:ascii="方正仿宋_GBK" w:hAnsi="方正仿宋_GBK" w:eastAsia="方正仿宋_GBK" w:cs="方正仿宋_GBK"/>
          <w:color w:val="auto"/>
          <w:sz w:val="32"/>
          <w:szCs w:val="32"/>
        </w:rPr>
        <w:t>）进行。磋商方的法定代表人或其委托代理人应准时参加，项目介绍及演示限时20分钟。</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地址：重庆市渝北区</w:t>
      </w:r>
      <w:r>
        <w:rPr>
          <w:rFonts w:hint="eastAsia" w:ascii="方正仿宋_GBK" w:hAnsi="方正仿宋_GBK" w:eastAsia="方正仿宋_GBK" w:cs="方正仿宋_GBK"/>
          <w:bCs/>
          <w:color w:val="auto"/>
          <w:sz w:val="32"/>
          <w:szCs w:val="32"/>
          <w:lang w:val="en-US" w:eastAsia="zh-CN"/>
        </w:rPr>
        <w:t>星光大道92号土星商务中心B1-26楼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联系人：</w:t>
      </w:r>
      <w:r>
        <w:rPr>
          <w:rFonts w:hint="eastAsia" w:ascii="方正仿宋_GBK" w:hAnsi="方正仿宋_GBK" w:eastAsia="方正仿宋_GBK" w:cs="方正仿宋_GBK"/>
          <w:bCs/>
          <w:color w:val="auto"/>
          <w:sz w:val="32"/>
          <w:szCs w:val="32"/>
          <w:lang w:val="en-US" w:eastAsia="zh-CN"/>
        </w:rPr>
        <w:t>邹女士</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联系电话：</w:t>
      </w:r>
      <w:r>
        <w:rPr>
          <w:rFonts w:hint="eastAsia" w:ascii="方正仿宋_GBK" w:hAnsi="方正仿宋_GBK" w:eastAsia="方正仿宋_GBK" w:cs="方正仿宋_GBK"/>
          <w:color w:val="auto"/>
          <w:sz w:val="32"/>
          <w:szCs w:val="32"/>
          <w:lang w:val="en-US" w:eastAsia="zh-CN" w:bidi="ar"/>
        </w:rPr>
        <w:t>023-88866916</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为便于工作联系，如贵公司满足资质要求并明确参加</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，请填妥回执，加盖贵公司公章后于</w:t>
      </w:r>
      <w:r>
        <w:rPr>
          <w:rFonts w:hint="eastAsia" w:ascii="方正仿宋_GBK" w:hAnsi="方正仿宋_GBK" w:eastAsia="方正仿宋_GBK" w:cs="方正仿宋_GBK"/>
          <w:color w:val="auto"/>
          <w:sz w:val="32"/>
          <w:szCs w:val="32"/>
          <w:highlight w:val="none"/>
          <w:u w:val="single"/>
        </w:rPr>
        <w:t>202</w:t>
      </w:r>
      <w:r>
        <w:rPr>
          <w:rFonts w:hint="eastAsia" w:ascii="方正仿宋_GBK" w:hAnsi="方正仿宋_GBK" w:eastAsia="方正仿宋_GBK" w:cs="方正仿宋_GBK"/>
          <w:color w:val="auto"/>
          <w:sz w:val="32"/>
          <w:szCs w:val="32"/>
          <w:highlight w:val="none"/>
          <w:u w:val="single"/>
          <w:lang w:val="en-US" w:eastAsia="zh-CN"/>
        </w:rPr>
        <w:t>3</w:t>
      </w:r>
      <w:r>
        <w:rPr>
          <w:rFonts w:hint="eastAsia" w:ascii="方正仿宋_GBK" w:hAnsi="方正仿宋_GBK" w:eastAsia="方正仿宋_GBK" w:cs="方正仿宋_GBK"/>
          <w:color w:val="auto"/>
          <w:sz w:val="32"/>
          <w:szCs w:val="32"/>
          <w:highlight w:val="none"/>
          <w:u w:val="single"/>
        </w:rPr>
        <w:t>年</w:t>
      </w:r>
      <w:r>
        <w:rPr>
          <w:rFonts w:hint="eastAsia" w:ascii="方正仿宋_GBK" w:hAnsi="方正仿宋_GBK" w:eastAsia="方正仿宋_GBK" w:cs="方正仿宋_GBK"/>
          <w:color w:val="auto"/>
          <w:sz w:val="32"/>
          <w:szCs w:val="32"/>
          <w:highlight w:val="none"/>
          <w:u w:val="single"/>
          <w:lang w:val="en-US" w:eastAsia="zh-CN"/>
        </w:rPr>
        <w:t>5</w:t>
      </w:r>
      <w:r>
        <w:rPr>
          <w:rFonts w:hint="eastAsia" w:ascii="方正仿宋_GBK" w:hAnsi="方正仿宋_GBK" w:eastAsia="方正仿宋_GBK" w:cs="方正仿宋_GBK"/>
          <w:color w:val="auto"/>
          <w:sz w:val="32"/>
          <w:szCs w:val="32"/>
          <w:highlight w:val="none"/>
          <w:u w:val="single"/>
        </w:rPr>
        <w:t>月</w:t>
      </w:r>
      <w:r>
        <w:rPr>
          <w:rFonts w:hint="eastAsia" w:ascii="方正仿宋_GBK" w:hAnsi="方正仿宋_GBK" w:eastAsia="方正仿宋_GBK" w:cs="方正仿宋_GBK"/>
          <w:color w:val="auto"/>
          <w:sz w:val="32"/>
          <w:szCs w:val="32"/>
          <w:highlight w:val="none"/>
          <w:u w:val="single"/>
          <w:lang w:val="en-US" w:eastAsia="zh-CN"/>
        </w:rPr>
        <w:t>12</w:t>
      </w:r>
      <w:r>
        <w:rPr>
          <w:rFonts w:hint="eastAsia" w:ascii="方正仿宋_GBK" w:hAnsi="方正仿宋_GBK" w:eastAsia="方正仿宋_GBK" w:cs="方正仿宋_GBK"/>
          <w:color w:val="auto"/>
          <w:sz w:val="32"/>
          <w:szCs w:val="32"/>
          <w:highlight w:val="none"/>
          <w:u w:val="single"/>
        </w:rPr>
        <w:t>日</w:t>
      </w:r>
      <w:r>
        <w:rPr>
          <w:rFonts w:hint="eastAsia" w:ascii="方正仿宋_GBK" w:hAnsi="方正仿宋_GBK" w:eastAsia="方正仿宋_GBK" w:cs="方正仿宋_GBK"/>
          <w:color w:val="auto"/>
          <w:sz w:val="32"/>
          <w:szCs w:val="32"/>
          <w:highlight w:val="none"/>
          <w:u w:val="single"/>
          <w:lang w:val="en-US" w:eastAsia="zh-CN"/>
        </w:rPr>
        <w:t>24:00</w:t>
      </w:r>
      <w:r>
        <w:rPr>
          <w:rFonts w:eastAsia="方正仿宋_GBK"/>
          <w:color w:val="auto"/>
          <w:sz w:val="32"/>
          <w:szCs w:val="32"/>
          <w:highlight w:val="none"/>
          <w:u w:val="single"/>
        </w:rPr>
        <w:t>前</w:t>
      </w:r>
      <w:r>
        <w:rPr>
          <w:rFonts w:hint="eastAsia" w:ascii="方正仿宋_GBK" w:hAnsi="方正仿宋_GBK" w:eastAsia="方正仿宋_GBK" w:cs="方正仿宋_GBK"/>
          <w:color w:val="auto"/>
          <w:sz w:val="32"/>
          <w:szCs w:val="32"/>
          <w:highlight w:val="none"/>
        </w:rPr>
        <w:t>发送邮件至</w:t>
      </w:r>
      <w:bookmarkStart w:id="23" w:name="OLE_LINK2"/>
      <w:r>
        <w:rPr>
          <w:rFonts w:hint="eastAsia" w:ascii="方正仿宋_GBK" w:hAnsi="方正仿宋_GBK" w:eastAsia="方正仿宋_GBK" w:cs="方正仿宋_GBK"/>
          <w:bCs/>
          <w:color w:val="auto"/>
          <w:sz w:val="32"/>
          <w:szCs w:val="32"/>
          <w:highlight w:val="none"/>
          <w:lang w:eastAsia="zh-CN" w:bidi="ar"/>
        </w:rPr>
        <w:t>zoupeihong@cqace.onali</w:t>
      </w:r>
      <w:r>
        <w:rPr>
          <w:rFonts w:hint="eastAsia" w:ascii="方正仿宋_GBK" w:hAnsi="方正仿宋_GBK" w:eastAsia="方正仿宋_GBK" w:cs="方正仿宋_GBK"/>
          <w:bCs/>
          <w:color w:val="auto"/>
          <w:sz w:val="32"/>
          <w:szCs w:val="32"/>
          <w:lang w:eastAsia="zh-CN" w:bidi="ar"/>
        </w:rPr>
        <w:t>yun.com</w:t>
      </w:r>
      <w:bookmarkEnd w:id="23"/>
      <w:r>
        <w:rPr>
          <w:rFonts w:hint="eastAsia" w:ascii="方正仿宋_GBK" w:hAnsi="方正仿宋_GBK" w:eastAsia="方正仿宋_GBK" w:cs="方正仿宋_GBK"/>
          <w:color w:val="auto"/>
          <w:sz w:val="32"/>
          <w:szCs w:val="32"/>
        </w:rPr>
        <w:t>邮箱，但回执并不被视同</w:t>
      </w:r>
      <w:r>
        <w:rPr>
          <w:rFonts w:hint="eastAsia" w:ascii="方正仿宋_GBK" w:hAnsi="方正仿宋_GBK" w:eastAsia="方正仿宋_GBK" w:cs="方正仿宋_GBK"/>
          <w:color w:val="auto"/>
          <w:sz w:val="32"/>
          <w:szCs w:val="32"/>
          <w:lang w:val="en-US" w:eastAsia="zh-CN"/>
        </w:rPr>
        <w:t>响应人</w:t>
      </w:r>
      <w:r>
        <w:rPr>
          <w:rFonts w:hint="eastAsia" w:ascii="方正仿宋_GBK" w:hAnsi="方正仿宋_GBK" w:eastAsia="方正仿宋_GBK" w:cs="方正仿宋_GBK"/>
          <w:color w:val="auto"/>
          <w:sz w:val="32"/>
          <w:szCs w:val="32"/>
        </w:rPr>
        <w:t>正式的</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p>
    <w:p>
      <w:pPr>
        <w:spacing w:line="600" w:lineRule="exact"/>
        <w:jc w:val="center"/>
        <w:rPr>
          <w:rFonts w:hint="eastAsia" w:ascii="方正小标宋_GBK" w:hAnsi="方正小标宋_GBK" w:eastAsia="方正小标宋_GBK" w:cs="方正小标宋_GBK"/>
          <w:color w:val="auto"/>
          <w:sz w:val="44"/>
          <w:szCs w:val="44"/>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回    执</w:t>
      </w:r>
    </w:p>
    <w:p>
      <w:pPr>
        <w:spacing w:line="600" w:lineRule="exact"/>
        <w:rPr>
          <w:rFonts w:ascii="宋体" w:hAnsi="宋体"/>
          <w:color w:val="auto"/>
          <w:sz w:val="32"/>
          <w:szCs w:val="32"/>
        </w:rPr>
      </w:pPr>
    </w:p>
    <w:p>
      <w:pPr>
        <w:snapToGrid w:val="0"/>
        <w:spacing w:line="600" w:lineRule="exact"/>
        <w:rPr>
          <w:rFonts w:ascii="方正仿宋_GBK" w:hAnsi="方正仿宋_GBK" w:eastAsia="方正仿宋_GBK" w:cs="方正仿宋_GBK"/>
          <w:bCs/>
          <w:color w:val="auto"/>
          <w:sz w:val="32"/>
          <w:szCs w:val="32"/>
          <w:u w:val="single"/>
        </w:rPr>
      </w:pPr>
      <w:r>
        <w:rPr>
          <w:rFonts w:hint="eastAsia" w:ascii="方正仿宋_GBK" w:hAnsi="方正仿宋_GBK" w:eastAsia="方正仿宋_GBK" w:cs="方正仿宋_GBK"/>
          <w:bCs/>
          <w:color w:val="auto"/>
          <w:sz w:val="32"/>
          <w:szCs w:val="32"/>
        </w:rPr>
        <w:t>致：</w:t>
      </w:r>
      <w:r>
        <w:rPr>
          <w:rFonts w:hint="eastAsia" w:ascii="方正仿宋_GBK" w:hAnsi="方正仿宋_GBK" w:eastAsia="方正仿宋_GBK" w:cs="方正仿宋_GBK"/>
          <w:bCs/>
          <w:color w:val="auto"/>
          <w:sz w:val="32"/>
          <w:szCs w:val="32"/>
          <w:u w:val="single"/>
          <w:lang w:eastAsia="zh-CN"/>
        </w:rPr>
        <w:t>重庆农畜产品交易所股份有限公司、</w:t>
      </w:r>
      <w:r>
        <w:rPr>
          <w:rFonts w:hint="eastAsia" w:ascii="方正仿宋_GBK" w:hAnsi="方正仿宋_GBK" w:eastAsia="方正仿宋_GBK" w:cs="方正仿宋_GBK"/>
          <w:bCs/>
          <w:color w:val="auto"/>
          <w:sz w:val="32"/>
          <w:szCs w:val="32"/>
          <w:u w:val="single"/>
          <w:lang w:val="en-US" w:eastAsia="zh-CN"/>
        </w:rPr>
        <w:t>重庆农蓄科技发展有限公司</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我方确认收到贵方提供的</w:t>
      </w:r>
      <w:r>
        <w:rPr>
          <w:rFonts w:hint="eastAsia" w:ascii="方正仿宋_GBK" w:hAnsi="方正仿宋_GBK" w:eastAsia="方正仿宋_GBK" w:cs="方正仿宋_GBK"/>
          <w:color w:val="auto"/>
          <w:sz w:val="32"/>
          <w:szCs w:val="32"/>
          <w:u w:val="single"/>
          <w:lang w:eastAsia="zh-CN"/>
        </w:rPr>
        <w:t>补充医疗保险项目</w:t>
      </w:r>
      <w:r>
        <w:rPr>
          <w:rFonts w:hint="eastAsia" w:ascii="方正仿宋_GBK" w:hAnsi="方正仿宋_GBK" w:eastAsia="方正仿宋_GBK" w:cs="方正仿宋_GBK"/>
          <w:color w:val="auto"/>
          <w:sz w:val="32"/>
          <w:szCs w:val="32"/>
        </w:rPr>
        <w:t>竞争性磋商文件的全部内容。我方作为</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进行有关本磋商的一切事宜。在此提交的磋商文件，正本1份，副本1份，电子文件一份（发送指定邮箱）。</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我方已完全明白磋商文件的所有条款要求，并承诺如下几点：</w:t>
      </w:r>
    </w:p>
    <w:p>
      <w:pPr>
        <w:numPr>
          <w:ilvl w:val="0"/>
          <w:numId w:val="0"/>
        </w:numPr>
        <w:snapToGrid w:val="0"/>
        <w:spacing w:line="600" w:lineRule="exact"/>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    1.</w:t>
      </w:r>
      <w:r>
        <w:rPr>
          <w:rFonts w:hint="eastAsia" w:ascii="方正仿宋_GBK" w:hAnsi="方正仿宋_GBK" w:eastAsia="方正仿宋_GBK" w:cs="方正仿宋_GBK"/>
          <w:color w:val="auto"/>
          <w:sz w:val="32"/>
          <w:szCs w:val="32"/>
        </w:rPr>
        <w:t>我方决定参加</w:t>
      </w:r>
      <w:r>
        <w:rPr>
          <w:rFonts w:hint="eastAsia" w:ascii="方正仿宋_GBK" w:hAnsi="方正仿宋_GBK" w:eastAsia="方正仿宋_GBK" w:cs="方正仿宋_GBK"/>
          <w:color w:val="auto"/>
          <w:sz w:val="32"/>
          <w:szCs w:val="32"/>
          <w:u w:val="single"/>
          <w:lang w:eastAsia="zh-CN"/>
        </w:rPr>
        <w:t>补充医疗保险项目</w:t>
      </w:r>
      <w:r>
        <w:rPr>
          <w:rFonts w:hint="eastAsia" w:ascii="方正仿宋_GBK" w:hAnsi="方正仿宋_GBK" w:eastAsia="方正仿宋_GBK" w:cs="方正仿宋_GBK"/>
          <w:color w:val="auto"/>
          <w:sz w:val="32"/>
          <w:szCs w:val="32"/>
        </w:rPr>
        <w:t>竞争性磋商。</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我方参与</w:t>
      </w:r>
      <w:r>
        <w:rPr>
          <w:rFonts w:hint="eastAsia" w:ascii="方正仿宋_GBK" w:hAnsi="方正仿宋_GBK" w:eastAsia="方正仿宋_GBK" w:cs="方正仿宋_GBK"/>
          <w:color w:val="auto"/>
          <w:sz w:val="32"/>
          <w:szCs w:val="32"/>
          <w:u w:val="single"/>
          <w:lang w:eastAsia="zh-CN"/>
        </w:rPr>
        <w:t>补充医疗保险项目</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报价（详见报价一览表）。</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3.我方已详细研究了磋商文件的所有内容包括修</w:t>
      </w:r>
      <w:r>
        <w:rPr>
          <w:rFonts w:hint="eastAsia" w:ascii="方正仿宋_GBK" w:hAnsi="方正仿宋_GBK" w:eastAsia="方正仿宋_GBK" w:cs="方正仿宋_GBK"/>
          <w:color w:val="auto"/>
          <w:sz w:val="32"/>
          <w:szCs w:val="32"/>
          <w:lang w:val="en-US" w:eastAsia="zh-CN"/>
        </w:rPr>
        <w:t>改</w:t>
      </w:r>
      <w:r>
        <w:rPr>
          <w:rFonts w:hint="eastAsia" w:ascii="方正仿宋_GBK" w:hAnsi="方正仿宋_GBK" w:eastAsia="方正仿宋_GBK" w:cs="方正仿宋_GBK"/>
          <w:color w:val="auto"/>
          <w:sz w:val="32"/>
          <w:szCs w:val="32"/>
        </w:rPr>
        <w:t>文（如果有）和所有已提供的参考资料以及有关附件，并完全明白。我方放弃在此方面提出含糊意见或误解的一切权力。</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4.我方同意按照贵方可能提出的要求而提供与磋商有关的任何其它数据或信息。</w:t>
      </w:r>
    </w:p>
    <w:p>
      <w:pPr>
        <w:snapToGrid w:val="0"/>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5.如我方被授予合同，将保证履行磋商文件以及磋商文件修改书（如果有的话）中的全部责任和义务，按质、按量、按期完成合同中的全部任务。</w:t>
      </w:r>
    </w:p>
    <w:p>
      <w:pPr>
        <w:pStyle w:val="29"/>
        <w:rPr>
          <w:color w:val="auto"/>
        </w:rPr>
      </w:pPr>
    </w:p>
    <w:p>
      <w:pPr>
        <w:snapToGrid w:val="0"/>
        <w:spacing w:line="600" w:lineRule="exact"/>
        <w:ind w:firstLine="56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（公章）：</w:t>
      </w:r>
    </w:p>
    <w:p>
      <w:pPr>
        <w:rPr>
          <w:color w:val="auto"/>
        </w:rPr>
      </w:pP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法定代表人（或授权代理人）签名：</w:t>
      </w:r>
    </w:p>
    <w:p>
      <w:pPr>
        <w:rPr>
          <w:color w:val="auto"/>
        </w:rPr>
      </w:pPr>
    </w:p>
    <w:p>
      <w:pPr>
        <w:snapToGrid w:val="0"/>
        <w:spacing w:line="600" w:lineRule="exact"/>
        <w:ind w:firstLine="2200" w:firstLineChars="500"/>
        <w:jc w:val="left"/>
        <w:outlineLvl w:val="0"/>
        <w:rPr>
          <w:rFonts w:ascii="宋体" w:hAnsi="宋体"/>
          <w:bCs/>
          <w:color w:val="auto"/>
        </w:rPr>
      </w:pPr>
      <w:bookmarkStart w:id="24" w:name="_Toc5757"/>
      <w:bookmarkStart w:id="25" w:name="_Toc17301"/>
      <w:bookmarkStart w:id="26" w:name="_Toc32503"/>
      <w:bookmarkStart w:id="27" w:name="_Toc14651"/>
      <w:bookmarkStart w:id="28" w:name="_Toc22420"/>
      <w:bookmarkStart w:id="29" w:name="_Toc3519"/>
      <w:bookmarkStart w:id="30" w:name="_Toc20507"/>
      <w:bookmarkStart w:id="31" w:name="_Toc24733"/>
      <w:bookmarkStart w:id="32" w:name="_Toc4253"/>
      <w:bookmarkStart w:id="33" w:name="_Toc24205"/>
      <w:bookmarkStart w:id="34" w:name="_Toc16963"/>
      <w:bookmarkStart w:id="35" w:name="_Toc29984"/>
      <w:bookmarkStart w:id="36" w:name="_Toc10110"/>
      <w:bookmarkStart w:id="37" w:name="_Toc9910"/>
      <w:r>
        <w:rPr>
          <w:rFonts w:hint="eastAsia" w:ascii="方正黑体简体" w:hAnsi="方正黑体简体" w:eastAsia="方正黑体简体" w:cs="方正黑体简体"/>
          <w:color w:val="0000FF"/>
          <w:sz w:val="44"/>
          <w:szCs w:val="44"/>
        </w:rPr>
        <w:br w:type="page"/>
      </w:r>
      <w:bookmarkStart w:id="38" w:name="_Toc25833"/>
      <w:bookmarkStart w:id="39" w:name="_Toc25402"/>
      <w:bookmarkStart w:id="40" w:name="_Toc7382"/>
      <w:r>
        <w:rPr>
          <w:rFonts w:hint="eastAsia" w:ascii="方正黑体简体" w:hAnsi="方正黑体简体" w:eastAsia="方正黑体简体" w:cs="方正黑体简体"/>
          <w:color w:val="auto"/>
          <w:sz w:val="44"/>
          <w:szCs w:val="44"/>
        </w:rPr>
        <w:t>第二部分</w:t>
      </w:r>
      <w:r>
        <w:rPr>
          <w:rFonts w:hint="eastAsia" w:ascii="方正黑体简体" w:hAnsi="方正黑体简体" w:eastAsia="方正黑体简体" w:cs="方正黑体简体"/>
          <w:color w:val="auto"/>
          <w:sz w:val="44"/>
          <w:szCs w:val="44"/>
          <w:lang w:val="en-US" w:eastAsia="zh-CN"/>
        </w:rPr>
        <w:t xml:space="preserve"> </w:t>
      </w:r>
      <w:r>
        <w:rPr>
          <w:rFonts w:hint="eastAsia" w:ascii="方正黑体简体" w:hAnsi="方正黑体简体" w:eastAsia="方正黑体简体" w:cs="方正黑体简体"/>
          <w:color w:val="auto"/>
          <w:sz w:val="44"/>
          <w:szCs w:val="44"/>
          <w:lang w:eastAsia="zh-CN"/>
        </w:rPr>
        <w:t>响应人</w:t>
      </w:r>
      <w:r>
        <w:rPr>
          <w:rFonts w:hint="eastAsia" w:ascii="方正黑体简体" w:hAnsi="方正黑体简体" w:eastAsia="方正黑体简体" w:cs="方正黑体简体"/>
          <w:color w:val="auto"/>
          <w:sz w:val="44"/>
          <w:szCs w:val="44"/>
        </w:rPr>
        <w:t>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4"/>
        <w:keepNext w:val="0"/>
        <w:keepLines w:val="0"/>
        <w:pageBreakBefore w:val="0"/>
        <w:widowControl w:val="0"/>
        <w:numPr>
          <w:ilvl w:val="0"/>
          <w:numId w:val="0"/>
        </w:numPr>
        <w:tabs>
          <w:tab w:val="left" w:pos="420"/>
          <w:tab w:val="clear" w:pos="851"/>
        </w:tabs>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b/>
          <w:color w:val="auto"/>
        </w:rPr>
      </w:pPr>
      <w:bookmarkStart w:id="41" w:name="_Toc973"/>
      <w:bookmarkStart w:id="42" w:name="_Toc5010"/>
      <w:bookmarkStart w:id="43" w:name="_Toc1895"/>
      <w:bookmarkStart w:id="44" w:name="_Toc24686"/>
      <w:bookmarkStart w:id="45" w:name="_Toc7471"/>
      <w:bookmarkStart w:id="46" w:name="_Toc22431"/>
      <w:bookmarkStart w:id="47" w:name="_Toc30193"/>
      <w:bookmarkStart w:id="48" w:name="_Toc16689"/>
      <w:bookmarkStart w:id="49" w:name="_Toc14730"/>
      <w:bookmarkStart w:id="50" w:name="_Toc31384"/>
      <w:bookmarkStart w:id="51" w:name="_Toc15604"/>
      <w:bookmarkStart w:id="52" w:name="_Toc15117"/>
      <w:bookmarkStart w:id="53" w:name="_Toc3459"/>
      <w:bookmarkStart w:id="54" w:name="_Toc22442"/>
      <w:bookmarkStart w:id="55" w:name="_Toc4945"/>
      <w:bookmarkStart w:id="56" w:name="_Toc24378"/>
      <w:bookmarkStart w:id="57" w:name="_Toc6277"/>
      <w:bookmarkStart w:id="58" w:name="_Toc21941"/>
      <w:bookmarkStart w:id="59" w:name="_Toc10666"/>
      <w:r>
        <w:rPr>
          <w:rFonts w:hint="eastAsia" w:ascii="方正仿宋_GBK" w:hAnsi="方正仿宋_GBK" w:eastAsia="方正仿宋_GBK" w:cs="方正仿宋_GBK"/>
          <w:b/>
          <w:color w:val="auto"/>
        </w:rPr>
        <w:t>1总则</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方正仿宋_GBK" w:hAnsi="方正仿宋_GBK" w:eastAsia="方正仿宋_GBK" w:cs="方正仿宋_GBK"/>
          <w:bCs/>
          <w:color w:val="auto"/>
          <w:sz w:val="32"/>
          <w:szCs w:val="32"/>
        </w:rPr>
      </w:pPr>
      <w:bookmarkStart w:id="60" w:name="_Toc6334"/>
      <w:bookmarkStart w:id="61" w:name="_Toc6866"/>
      <w:bookmarkStart w:id="62" w:name="_Toc30784"/>
      <w:bookmarkStart w:id="63" w:name="_Toc20550"/>
      <w:bookmarkStart w:id="64" w:name="_Toc3681"/>
      <w:bookmarkStart w:id="65" w:name="_Toc4970"/>
      <w:bookmarkStart w:id="66" w:name="_Toc26"/>
      <w:bookmarkStart w:id="67" w:name="_Toc25425"/>
      <w:bookmarkStart w:id="68" w:name="_Toc10467"/>
      <w:bookmarkStart w:id="69" w:name="_Toc17770"/>
      <w:bookmarkStart w:id="70" w:name="_Toc11272"/>
      <w:bookmarkStart w:id="71" w:name="_Toc16600"/>
      <w:bookmarkStart w:id="72" w:name="_Toc23304"/>
      <w:bookmarkStart w:id="73" w:name="_Toc14221"/>
      <w:r>
        <w:rPr>
          <w:rFonts w:hint="eastAsia" w:ascii="方正仿宋_GBK" w:hAnsi="方正仿宋_GBK" w:eastAsia="方正仿宋_GBK" w:cs="方正仿宋_GBK"/>
          <w:bCs/>
          <w:color w:val="auto"/>
          <w:sz w:val="32"/>
          <w:szCs w:val="32"/>
        </w:rPr>
        <w:t>1.1</w:t>
      </w:r>
      <w:r>
        <w:rPr>
          <w:rFonts w:hint="eastAsia" w:ascii="方正仿宋_GBK" w:hAnsi="方正仿宋_GBK" w:eastAsia="方正仿宋_GBK" w:cs="方正仿宋_GBK"/>
          <w:bCs/>
          <w:color w:val="auto"/>
          <w:sz w:val="32"/>
          <w:szCs w:val="32"/>
          <w:lang w:eastAsia="zh-CN"/>
        </w:rPr>
        <w:t>磋商</w:t>
      </w:r>
      <w:r>
        <w:rPr>
          <w:rFonts w:hint="eastAsia" w:ascii="方正仿宋_GBK" w:hAnsi="方正仿宋_GBK" w:eastAsia="方正仿宋_GBK" w:cs="方正仿宋_GBK"/>
          <w:bCs/>
          <w:color w:val="auto"/>
          <w:sz w:val="32"/>
          <w:szCs w:val="32"/>
        </w:rPr>
        <w:t>说明</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600" w:lineRule="exact"/>
        <w:ind w:left="15" w:leftChars="7" w:right="0" w:rightChars="0" w:firstLine="624" w:firstLineChars="195"/>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1.1.1</w:t>
      </w:r>
      <w:r>
        <w:rPr>
          <w:rFonts w:hint="eastAsia" w:hAnsi="方正仿宋_GBK" w:eastAsia="方正仿宋_GBK" w:cs="方正仿宋_GBK"/>
          <w:color w:val="auto"/>
          <w:sz w:val="32"/>
          <w:szCs w:val="32"/>
          <w:lang w:bidi="ar"/>
        </w:rPr>
        <w:t>项目名称：</w:t>
      </w:r>
      <w:r>
        <w:rPr>
          <w:rFonts w:hint="eastAsia" w:ascii="方正仿宋_GBK" w:hAnsi="方正仿宋_GBK" w:eastAsia="方正仿宋_GBK" w:cs="方正仿宋_GBK"/>
          <w:color w:val="auto"/>
          <w:sz w:val="32"/>
          <w:szCs w:val="32"/>
          <w:u w:val="single"/>
          <w:lang w:eastAsia="zh-CN"/>
        </w:rPr>
        <w:t>补充医疗保险项目</w:t>
      </w:r>
    </w:p>
    <w:p>
      <w:pPr>
        <w:keepNext w:val="0"/>
        <w:keepLines w:val="0"/>
        <w:pageBreakBefore w:val="0"/>
        <w:widowControl w:val="0"/>
        <w:kinsoku/>
        <w:wordWrap/>
        <w:overflowPunct/>
        <w:topLinePunct w:val="0"/>
        <w:autoSpaceDE/>
        <w:autoSpaceDN/>
        <w:bidi w:val="0"/>
        <w:adjustRightInd/>
        <w:snapToGrid/>
        <w:spacing w:line="600" w:lineRule="exact"/>
        <w:ind w:left="15" w:leftChars="7" w:right="0" w:rightChars="0" w:firstLine="624" w:firstLineChars="195"/>
        <w:jc w:val="both"/>
        <w:textAlignment w:val="auto"/>
        <w:rPr>
          <w:rFonts w:hint="eastAsia" w:hAnsi="方正仿宋_GBK" w:eastAsia="方正仿宋_GBK" w:cs="方正仿宋_GBK"/>
          <w:color w:val="auto"/>
          <w:sz w:val="32"/>
          <w:szCs w:val="32"/>
          <w:lang w:bidi="ar"/>
        </w:rPr>
      </w:pPr>
      <w:bookmarkStart w:id="74" w:name="_Toc1660"/>
      <w:bookmarkStart w:id="75" w:name="_Toc25351"/>
      <w:bookmarkStart w:id="76" w:name="_Toc16376"/>
      <w:r>
        <w:rPr>
          <w:rFonts w:hint="eastAsia" w:hAnsi="方正仿宋_GBK" w:eastAsia="方正仿宋_GBK" w:cs="方正仿宋_GBK"/>
          <w:color w:val="auto"/>
          <w:sz w:val="32"/>
          <w:szCs w:val="32"/>
          <w:lang w:bidi="ar"/>
        </w:rPr>
        <w:t>1.1.2</w:t>
      </w:r>
      <w:r>
        <w:rPr>
          <w:rFonts w:hint="eastAsia" w:hAnsi="方正仿宋_GBK" w:eastAsia="方正仿宋_GBK" w:cs="方正仿宋_GBK"/>
          <w:color w:val="auto"/>
          <w:sz w:val="32"/>
          <w:szCs w:val="32"/>
          <w:lang w:eastAsia="zh-CN" w:bidi="ar"/>
        </w:rPr>
        <w:t>采购方</w:t>
      </w:r>
      <w:r>
        <w:rPr>
          <w:rFonts w:hint="eastAsia" w:hAnsi="方正仿宋_GBK" w:eastAsia="方正仿宋_GBK" w:cs="方正仿宋_GBK"/>
          <w:color w:val="auto"/>
          <w:sz w:val="32"/>
          <w:szCs w:val="32"/>
          <w:lang w:bidi="ar"/>
        </w:rPr>
        <w:t>式：竞争性磋商</w:t>
      </w:r>
      <w:bookmarkEnd w:id="74"/>
      <w:bookmarkEnd w:id="75"/>
      <w:bookmarkEnd w:id="76"/>
    </w:p>
    <w:p>
      <w:pPr>
        <w:keepNext w:val="0"/>
        <w:keepLines w:val="0"/>
        <w:pageBreakBefore w:val="0"/>
        <w:widowControl w:val="0"/>
        <w:kinsoku/>
        <w:wordWrap/>
        <w:overflowPunct/>
        <w:topLinePunct w:val="0"/>
        <w:autoSpaceDE/>
        <w:autoSpaceDN/>
        <w:bidi w:val="0"/>
        <w:adjustRightInd/>
        <w:snapToGrid/>
        <w:spacing w:line="600" w:lineRule="exact"/>
        <w:ind w:left="14" w:leftChars="7" w:right="0" w:rightChars="0" w:firstLine="624" w:firstLineChars="195"/>
        <w:jc w:val="both"/>
        <w:textAlignment w:val="auto"/>
        <w:outlineLvl w:val="9"/>
        <w:rPr>
          <w:rFonts w:hint="eastAsia" w:hAnsi="方正仿宋_GBK" w:eastAsia="方正仿宋_GBK" w:cs="方正仿宋_GBK"/>
          <w:color w:val="auto"/>
          <w:sz w:val="32"/>
          <w:szCs w:val="32"/>
          <w:lang w:val="en-US" w:eastAsia="zh-CN" w:bidi="ar"/>
        </w:rPr>
      </w:pPr>
      <w:bookmarkStart w:id="77" w:name="_Toc8537"/>
      <w:bookmarkStart w:id="78" w:name="_Toc9870"/>
      <w:bookmarkStart w:id="79" w:name="_Toc1097"/>
      <w:r>
        <w:rPr>
          <w:rFonts w:hint="eastAsia" w:hAnsi="方正仿宋_GBK" w:eastAsia="方正仿宋_GBK" w:cs="方正仿宋_GBK"/>
          <w:color w:val="auto"/>
          <w:sz w:val="32"/>
          <w:szCs w:val="32"/>
          <w:lang w:bidi="ar"/>
        </w:rPr>
        <w:t>1.1.3</w:t>
      </w:r>
      <w:bookmarkEnd w:id="77"/>
      <w:bookmarkEnd w:id="78"/>
      <w:bookmarkEnd w:id="79"/>
      <w:r>
        <w:rPr>
          <w:rFonts w:hint="eastAsia" w:hAnsi="方正仿宋_GBK" w:eastAsia="方正仿宋_GBK" w:cs="方正仿宋_GBK"/>
          <w:color w:val="auto"/>
          <w:sz w:val="32"/>
          <w:szCs w:val="32"/>
          <w:lang w:val="en-US" w:eastAsia="zh-CN" w:bidi="ar"/>
        </w:rPr>
        <w:t>协议期限</w:t>
      </w:r>
      <w:r>
        <w:rPr>
          <w:rFonts w:hint="eastAsia" w:hAnsi="方正仿宋_GBK" w:eastAsia="方正仿宋_GBK" w:cs="方正仿宋_GBK"/>
          <w:color w:val="auto"/>
          <w:sz w:val="32"/>
          <w:szCs w:val="32"/>
          <w:lang w:bidi="ar"/>
        </w:rPr>
        <w:t>：</w:t>
      </w:r>
      <w:r>
        <w:rPr>
          <w:rFonts w:hint="eastAsia" w:hAnsi="方正仿宋_GBK" w:eastAsia="方正仿宋_GBK" w:cs="方正仿宋_GBK"/>
          <w:color w:val="auto"/>
          <w:sz w:val="32"/>
          <w:szCs w:val="32"/>
          <w:lang w:eastAsia="zh-CN" w:bidi="ar"/>
        </w:rPr>
        <w:t>服务期两年（</w:t>
      </w:r>
      <w:r>
        <w:rPr>
          <w:rFonts w:hint="eastAsia" w:hAnsi="方正仿宋_GBK" w:eastAsia="方正仿宋_GBK" w:cs="方正仿宋_GBK"/>
          <w:color w:val="auto"/>
          <w:sz w:val="32"/>
          <w:szCs w:val="32"/>
          <w:lang w:val="en-US" w:eastAsia="zh-CN" w:bidi="ar"/>
        </w:rPr>
        <w:t>2023年-2024年度）</w:t>
      </w:r>
      <w:r>
        <w:rPr>
          <w:rFonts w:hint="eastAsia" w:hAnsi="方正仿宋_GBK" w:eastAsia="方正仿宋_GBK" w:cs="方正仿宋_GBK"/>
          <w:color w:val="auto"/>
          <w:sz w:val="32"/>
          <w:szCs w:val="32"/>
          <w:lang w:eastAsia="zh-CN" w:bidi="ar"/>
        </w:rPr>
        <w:t>，本项目合同一年一签。</w:t>
      </w:r>
      <w:r>
        <w:rPr>
          <w:rFonts w:hint="eastAsia" w:hAnsi="方正仿宋_GBK" w:eastAsia="方正仿宋_GBK" w:cs="方正仿宋_GBK"/>
          <w:color w:val="auto"/>
          <w:sz w:val="32"/>
          <w:szCs w:val="32"/>
          <w:lang w:val="en-US" w:eastAsia="zh-CN" w:bidi="ar"/>
        </w:rPr>
        <w:t>当年合同到期前三个月，由本公司召开会议审议通过且确定双方均具备签约条件后</w:t>
      </w:r>
      <w:r>
        <w:rPr>
          <w:rFonts w:hint="default" w:hAnsi="方正仿宋_GBK" w:eastAsia="方正仿宋_GBK" w:cs="方正仿宋_GBK"/>
          <w:color w:val="auto"/>
          <w:sz w:val="32"/>
          <w:szCs w:val="32"/>
          <w:lang w:val="en-US" w:eastAsia="zh-CN" w:bidi="ar"/>
        </w:rPr>
        <w:t>方可续签</w:t>
      </w:r>
      <w:r>
        <w:rPr>
          <w:rFonts w:hint="eastAsia" w:hAnsi="方正仿宋_GBK" w:eastAsia="方正仿宋_GBK" w:cs="方正仿宋_GBK"/>
          <w:color w:val="auto"/>
          <w:sz w:val="32"/>
          <w:szCs w:val="32"/>
          <w:lang w:val="en-US" w:eastAsia="zh-CN" w:bidi="ar"/>
        </w:rPr>
        <w:t>次年保险</w:t>
      </w:r>
      <w:r>
        <w:rPr>
          <w:rFonts w:hint="default" w:hAnsi="方正仿宋_GBK" w:eastAsia="方正仿宋_GBK" w:cs="方正仿宋_GBK"/>
          <w:color w:val="auto"/>
          <w:sz w:val="32"/>
          <w:szCs w:val="32"/>
          <w:lang w:val="en-US" w:eastAsia="zh-CN" w:bidi="ar"/>
        </w:rPr>
        <w:t>合同，</w:t>
      </w:r>
      <w:r>
        <w:rPr>
          <w:rFonts w:hint="eastAsia" w:hAnsi="方正仿宋_GBK" w:eastAsia="方正仿宋_GBK" w:cs="方正仿宋_GBK"/>
          <w:color w:val="auto"/>
          <w:sz w:val="32"/>
          <w:szCs w:val="32"/>
          <w:lang w:val="en-US" w:eastAsia="zh-CN" w:bidi="ar"/>
        </w:rPr>
        <w:t>未通过</w:t>
      </w:r>
      <w:r>
        <w:rPr>
          <w:rFonts w:hint="default" w:hAnsi="方正仿宋_GBK" w:eastAsia="方正仿宋_GBK" w:cs="方正仿宋_GBK"/>
          <w:color w:val="auto"/>
          <w:sz w:val="32"/>
          <w:szCs w:val="32"/>
          <w:lang w:val="en-US" w:eastAsia="zh-CN" w:bidi="ar"/>
        </w:rPr>
        <w:t>则重新</w:t>
      </w:r>
      <w:r>
        <w:rPr>
          <w:rFonts w:hint="eastAsia" w:hAnsi="方正仿宋_GBK" w:eastAsia="方正仿宋_GBK" w:cs="方正仿宋_GBK"/>
          <w:color w:val="auto"/>
          <w:sz w:val="32"/>
          <w:szCs w:val="32"/>
          <w:lang w:val="en-US" w:eastAsia="zh-CN" w:bidi="ar"/>
        </w:rPr>
        <w:t>采购</w:t>
      </w:r>
      <w:r>
        <w:rPr>
          <w:rFonts w:hint="default" w:hAnsi="方正仿宋_GBK" w:eastAsia="方正仿宋_GBK" w:cs="方正仿宋_GBK"/>
          <w:color w:val="auto"/>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left="14" w:leftChars="7" w:right="0" w:rightChars="0" w:firstLine="624" w:firstLineChars="195"/>
        <w:jc w:val="both"/>
        <w:textAlignment w:val="auto"/>
        <w:outlineLvl w:val="9"/>
        <w:rPr>
          <w:rFonts w:hint="eastAsia" w:hAnsi="方正仿宋_GBK" w:eastAsia="方正仿宋_GBK" w:cs="方正仿宋_GBK"/>
          <w:color w:val="auto"/>
          <w:sz w:val="32"/>
          <w:szCs w:val="32"/>
          <w:lang w:val="en-US" w:eastAsia="zh-CN" w:bidi="ar"/>
        </w:rPr>
      </w:pPr>
      <w:r>
        <w:rPr>
          <w:rFonts w:hint="eastAsia" w:hAnsi="方正仿宋_GBK" w:eastAsia="方正仿宋_GBK" w:cs="方正仿宋_GBK"/>
          <w:color w:val="auto"/>
          <w:sz w:val="32"/>
          <w:szCs w:val="32"/>
          <w:lang w:val="en-US" w:eastAsia="zh-CN" w:bidi="ar"/>
        </w:rPr>
        <w:t>1.1.4方案内容：详见“第三部分项目需求书”</w:t>
      </w:r>
      <w:bookmarkStart w:id="80" w:name="_Toc13402"/>
      <w:bookmarkStart w:id="81" w:name="_Toc1395"/>
      <w:bookmarkStart w:id="82" w:name="_Toc2148"/>
    </w:p>
    <w:p>
      <w:pPr>
        <w:keepNext w:val="0"/>
        <w:keepLines w:val="0"/>
        <w:pageBreakBefore w:val="0"/>
        <w:widowControl w:val="0"/>
        <w:kinsoku/>
        <w:wordWrap/>
        <w:overflowPunct/>
        <w:topLinePunct w:val="0"/>
        <w:autoSpaceDE/>
        <w:autoSpaceDN/>
        <w:bidi w:val="0"/>
        <w:adjustRightInd/>
        <w:snapToGrid/>
        <w:spacing w:line="600" w:lineRule="exact"/>
        <w:ind w:left="15" w:leftChars="7" w:right="0" w:rightChars="0" w:firstLine="624" w:firstLineChars="195"/>
        <w:jc w:val="both"/>
        <w:textAlignment w:val="auto"/>
        <w:rPr>
          <w:rFonts w:ascii="方正仿宋_GBK" w:hAnsi="方正仿宋_GBK" w:eastAsia="方正仿宋_GBK" w:cs="方正仿宋_GBK"/>
          <w:color w:val="auto"/>
          <w:sz w:val="32"/>
          <w:szCs w:val="32"/>
        </w:rPr>
      </w:pPr>
      <w:r>
        <w:rPr>
          <w:rFonts w:hint="eastAsia" w:ascii="Times New Roman" w:hAnsi="方正仿宋_GBK" w:eastAsia="方正仿宋_GBK" w:cs="方正仿宋_GBK"/>
          <w:color w:val="auto"/>
          <w:kern w:val="2"/>
          <w:sz w:val="32"/>
          <w:szCs w:val="32"/>
          <w:lang w:val="en-US" w:eastAsia="zh-CN" w:bidi="ar"/>
        </w:rPr>
        <w:t>1.1.5响应人资</w:t>
      </w:r>
      <w:r>
        <w:rPr>
          <w:rFonts w:hint="eastAsia" w:ascii="方正仿宋_GBK" w:hAnsi="方正仿宋_GBK" w:eastAsia="方正仿宋_GBK" w:cs="方正仿宋_GBK"/>
          <w:color w:val="auto"/>
          <w:sz w:val="32"/>
          <w:szCs w:val="32"/>
        </w:rPr>
        <w:t>格要求如下：</w:t>
      </w:r>
      <w:bookmarkEnd w:id="80"/>
      <w:bookmarkEnd w:id="81"/>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rPr>
          <w:rFonts w:hint="eastAsia" w:ascii="方正仿宋_GBK" w:hAnsi="方正仿宋_GBK" w:eastAsia="方正仿宋_GBK" w:cs="方正仿宋_GBK"/>
          <w:color w:val="auto"/>
          <w:sz w:val="32"/>
          <w:szCs w:val="32"/>
          <w:lang w:val="en-US" w:eastAsia="zh-CN" w:bidi="ar"/>
        </w:rPr>
      </w:pPr>
      <w:bookmarkStart w:id="83" w:name="_Toc23633"/>
      <w:bookmarkStart w:id="84" w:name="_Toc14350"/>
      <w:bookmarkStart w:id="85" w:name="_Toc19646"/>
      <w:bookmarkStart w:id="86" w:name="_Toc3293"/>
      <w:bookmarkStart w:id="87" w:name="_Toc29411"/>
      <w:bookmarkStart w:id="88" w:name="_Toc8204"/>
      <w:bookmarkStart w:id="89" w:name="_Toc7622"/>
      <w:bookmarkStart w:id="90" w:name="_Toc16886"/>
      <w:bookmarkStart w:id="91" w:name="_Toc6492"/>
      <w:bookmarkStart w:id="92" w:name="_Toc10062"/>
      <w:bookmarkStart w:id="93" w:name="_Toc12930"/>
      <w:bookmarkStart w:id="94" w:name="_Toc8796"/>
      <w:bookmarkStart w:id="95" w:name="_Toc9255"/>
      <w:bookmarkStart w:id="96" w:name="_Toc28529"/>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val="en-US" w:eastAsia="zh-CN" w:bidi="ar"/>
        </w:rPr>
        <w:t>1</w:t>
      </w:r>
      <w:r>
        <w:rPr>
          <w:rFonts w:hint="eastAsia" w:ascii="方正仿宋_GBK" w:hAnsi="方正仿宋_GBK" w:eastAsia="方正仿宋_GBK" w:cs="方正仿宋_GBK"/>
          <w:color w:val="auto"/>
          <w:sz w:val="32"/>
          <w:szCs w:val="32"/>
          <w:lang w:eastAsia="zh-CN" w:bidi="ar"/>
        </w:rPr>
        <w:t>）在中华人民共和国境内注册的合法企业，且须在重庆市设有常驻机构，成立时间不少于3年（以有效营业执照成立时间为准，提供营业执照复印件并加盖公章）。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rPr>
          <w:rFonts w:hint="eastAsia" w:ascii="方正仿宋_GBK" w:hAnsi="方正仿宋_GBK" w:eastAsia="方正仿宋_GBK" w:cs="方正仿宋_GBK"/>
          <w:color w:val="auto"/>
          <w:sz w:val="32"/>
          <w:szCs w:val="32"/>
          <w:lang w:eastAsia="zh-CN" w:bidi="ar"/>
        </w:rPr>
      </w:pP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val="en-US" w:eastAsia="zh-CN" w:bidi="ar"/>
        </w:rPr>
        <w:t>2</w:t>
      </w:r>
      <w:r>
        <w:rPr>
          <w:rFonts w:hint="eastAsia" w:ascii="方正仿宋_GBK" w:hAnsi="方正仿宋_GBK" w:eastAsia="方正仿宋_GBK" w:cs="方正仿宋_GBK"/>
          <w:color w:val="auto"/>
          <w:sz w:val="32"/>
          <w:szCs w:val="32"/>
          <w:lang w:eastAsia="zh-CN" w:bidi="ar"/>
        </w:rPr>
        <w:t>）必须是经国家金融监督管理总局（原中国银行保险监督管理委员会）认证的合法保险公司，具有国家保险监督管理部门颁发的《中华人民共和国经营保险业务许可证》。</w:t>
      </w:r>
      <w:r>
        <w:rPr>
          <w:rFonts w:hint="eastAsia" w:ascii="方正仿宋_GBK" w:hAnsi="方正仿宋_GBK" w:eastAsia="方正仿宋_GBK" w:cs="方正仿宋_GBK"/>
          <w:color w:val="auto"/>
          <w:sz w:val="32"/>
          <w:szCs w:val="32"/>
          <w:lang w:bidi="ar"/>
        </w:rPr>
        <w:br w:type="textWrapping"/>
      </w:r>
      <w:r>
        <w:rPr>
          <w:rFonts w:hint="eastAsia" w:ascii="方正仿宋_GBK" w:hAnsi="方正仿宋_GBK" w:eastAsia="方正仿宋_GBK" w:cs="方正仿宋_GBK"/>
          <w:color w:val="auto"/>
          <w:sz w:val="32"/>
          <w:szCs w:val="32"/>
          <w:lang w:val="en-US" w:eastAsia="zh-CN" w:bidi="ar"/>
        </w:rPr>
        <w:t xml:space="preserve">    </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val="en-US" w:eastAsia="zh-CN" w:bidi="ar"/>
        </w:rPr>
        <w:t>3</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bidi="ar"/>
        </w:rPr>
        <w:t>具有履行合同所必需的专业技术能力</w:t>
      </w:r>
      <w:r>
        <w:rPr>
          <w:rFonts w:hint="eastAsia" w:ascii="方正仿宋_GBK" w:hAnsi="方正仿宋_GBK" w:eastAsia="方正仿宋_GBK" w:cs="方正仿宋_GBK"/>
          <w:color w:val="auto"/>
          <w:sz w:val="32"/>
          <w:szCs w:val="32"/>
          <w:lang w:val="en-US" w:eastAsia="zh-CN" w:bidi="ar"/>
        </w:rPr>
        <w:t>和服务</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bidi="ar"/>
        </w:rPr>
        <w:br w:type="textWrapping"/>
      </w:r>
      <w:r>
        <w:rPr>
          <w:rFonts w:hint="eastAsia" w:ascii="方正仿宋_GBK" w:hAnsi="方正仿宋_GBK" w:eastAsia="方正仿宋_GBK" w:cs="方正仿宋_GBK"/>
          <w:color w:val="auto"/>
          <w:sz w:val="32"/>
          <w:szCs w:val="32"/>
          <w:lang w:val="en-US" w:eastAsia="zh-CN" w:bidi="ar"/>
        </w:rPr>
        <w:t xml:space="preserve">    </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val="en-US" w:eastAsia="zh-CN" w:bidi="ar"/>
        </w:rPr>
        <w:t>4</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bidi="ar"/>
        </w:rPr>
        <w:t>近三年在经营活动中没有处于被责令停业，财产被接管、冻结破产状态、在经营活动中没有违法违规记录和没有因</w:t>
      </w:r>
      <w:r>
        <w:rPr>
          <w:rFonts w:hint="eastAsia" w:ascii="方正仿宋_GBK" w:hAnsi="方正仿宋_GBK" w:eastAsia="方正仿宋_GBK" w:cs="方正仿宋_GBK"/>
          <w:color w:val="auto"/>
          <w:sz w:val="32"/>
          <w:szCs w:val="32"/>
          <w:lang w:eastAsia="zh-CN" w:bidi="ar"/>
        </w:rPr>
        <w:t>响应人</w:t>
      </w:r>
      <w:r>
        <w:rPr>
          <w:rFonts w:hint="eastAsia" w:ascii="方正仿宋_GBK" w:hAnsi="方正仿宋_GBK" w:eastAsia="方正仿宋_GBK" w:cs="方正仿宋_GBK"/>
          <w:color w:val="auto"/>
          <w:sz w:val="32"/>
          <w:szCs w:val="32"/>
          <w:lang w:bidi="ar"/>
        </w:rPr>
        <w:t>原因造成项目失败被终止合同的情况</w:t>
      </w:r>
      <w:r>
        <w:rPr>
          <w:rFonts w:hint="eastAsia" w:ascii="方正仿宋_GBK" w:hAnsi="方正仿宋_GBK" w:eastAsia="方正仿宋_GBK" w:cs="方正仿宋_GBK"/>
          <w:color w:val="auto"/>
          <w:sz w:val="32"/>
          <w:szCs w:val="32"/>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 xml:space="preserve">    （5）近3年内在经营活动中无重大违法记录，未被“信用中国”（www.creditchina.gov.cn）列入失信被执行人名单或税收违法黑名单或被中国政府采购网（www.ccgp.gov.cn）列入政府采购严重违法失信行为记录名单或被国家企业信用信息公示系统（www.gsxt.gov.cn）列入严重违法失信企业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 xml:space="preserve">    （6）公司法定代表人（负责人）为同一人或者存在控股、管理关系的不同公司，不得同时参加本项目投标活动。</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jc w:val="both"/>
        <w:textAlignment w:val="auto"/>
        <w:rPr>
          <w:rFonts w:hint="eastAsia" w:ascii="方正仿宋_GBK" w:hAnsi="方正仿宋_GBK" w:eastAsia="方正仿宋_GBK" w:cs="方正仿宋_GBK"/>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响应人提供的所有响应资料均需加盖公章或骑缝章。</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jc w:val="both"/>
        <w:textAlignment w:val="auto"/>
        <w:rPr>
          <w:rFonts w:hint="eastAsia" w:ascii="方正仿宋_GBK" w:hAnsi="方正仿宋_GBK" w:eastAsia="方正仿宋_GBK" w:cs="方正仿宋_GBK"/>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color w:val="auto"/>
          <w:sz w:val="32"/>
          <w:szCs w:val="32"/>
          <w:lang w:val="en-US" w:eastAsia="zh-CN" w:bidi="ar"/>
        </w:rPr>
      </w:pPr>
      <w:r>
        <w:rPr>
          <w:rFonts w:hint="eastAsia" w:ascii="方正仿宋_GBK" w:hAnsi="方正仿宋_GBK" w:eastAsia="方正仿宋_GBK" w:cs="方正仿宋_GBK"/>
          <w:color w:val="auto"/>
          <w:sz w:val="32"/>
          <w:szCs w:val="32"/>
          <w:lang w:val="en-US" w:eastAsia="zh-CN" w:bidi="ar"/>
        </w:rPr>
        <w:t>1.2纪律与保密</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1.2.1凡参与</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工作的有关人员均应自觉接受有关主管部门的监督，不得向他人透露可能影响公平竞争的有关招标投标的情况。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1.2.2</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后，直至向</w:t>
      </w:r>
      <w:r>
        <w:rPr>
          <w:rFonts w:hint="eastAsia" w:ascii="方正仿宋_GBK" w:hAnsi="方正仿宋_GBK" w:eastAsia="方正仿宋_GBK" w:cs="方正仿宋_GBK"/>
          <w:color w:val="auto"/>
          <w:sz w:val="32"/>
          <w:szCs w:val="32"/>
          <w:lang w:val="en-US" w:eastAsia="zh-CN"/>
        </w:rPr>
        <w:t>成交</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发出《</w:t>
      </w:r>
      <w:r>
        <w:rPr>
          <w:rFonts w:hint="eastAsia" w:ascii="方正仿宋_GBK" w:hAnsi="方正仿宋_GBK" w:eastAsia="方正仿宋_GBK" w:cs="方正仿宋_GBK"/>
          <w:color w:val="auto"/>
          <w:sz w:val="32"/>
          <w:szCs w:val="32"/>
          <w:lang w:eastAsia="zh-CN"/>
        </w:rPr>
        <w:t>成交通知书</w:t>
      </w:r>
      <w:r>
        <w:rPr>
          <w:rFonts w:hint="eastAsia" w:ascii="方正仿宋_GBK" w:hAnsi="方正仿宋_GBK" w:eastAsia="方正仿宋_GBK" w:cs="方正仿宋_GBK"/>
          <w:color w:val="auto"/>
          <w:sz w:val="32"/>
          <w:szCs w:val="32"/>
        </w:rPr>
        <w:t>》时止，凡与审查、澄清、评价和比较有关资料以及授标意见等，均不得向</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及与</w:t>
      </w:r>
      <w:r>
        <w:rPr>
          <w:rFonts w:hint="eastAsia" w:ascii="方正仿宋_GBK" w:hAnsi="方正仿宋_GBK" w:eastAsia="方正仿宋_GBK" w:cs="方正仿宋_GBK"/>
          <w:color w:val="auto"/>
          <w:sz w:val="32"/>
          <w:szCs w:val="32"/>
          <w:lang w:val="en-US" w:eastAsia="zh-CN"/>
        </w:rPr>
        <w:t>磋商</w:t>
      </w:r>
      <w:r>
        <w:rPr>
          <w:rFonts w:hint="eastAsia" w:ascii="方正仿宋_GBK" w:hAnsi="方正仿宋_GBK" w:eastAsia="方正仿宋_GBK" w:cs="方正仿宋_GBK"/>
          <w:color w:val="auto"/>
          <w:sz w:val="32"/>
          <w:szCs w:val="32"/>
        </w:rPr>
        <w:t>无关的其他人透露。</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1.2.3除</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被要求对</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进行澄清外，从</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之日起至授予合同期间，</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不得就与其</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有关的事项主动与采购小组以及</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联系。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1.2.4从</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之日起至授予合同期间，</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试图在</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审查、澄清、比较和评价时对采购小组施加任何影响或对</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的授标决定进行影响，都可能导致其</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被拒绝。</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1.2.5</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不得串通作弊，以不正当的手段妨碍、排挤其他</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，扰乱招标市场，破坏公平竞争原则。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1.2.6获得本</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文件者，应对文件进行保密，不得用作本次</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以外的任何用途。若有要求，</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后，</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应归还</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文件中的保密的文件和资料。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1.2.7因</w:t>
      </w:r>
      <w:r>
        <w:rPr>
          <w:rFonts w:hint="eastAsia" w:ascii="方正仿宋_GBK" w:hAnsi="方正仿宋_GBK" w:eastAsia="方正仿宋_GBK" w:cs="方正仿宋_GBK"/>
          <w:color w:val="auto"/>
          <w:sz w:val="32"/>
          <w:szCs w:val="32"/>
          <w:lang w:val="en-US" w:eastAsia="zh-CN"/>
        </w:rPr>
        <w:t>磋商</w:t>
      </w:r>
      <w:r>
        <w:rPr>
          <w:rFonts w:hint="eastAsia" w:ascii="方正仿宋_GBK" w:hAnsi="方正仿宋_GBK" w:eastAsia="方正仿宋_GBK" w:cs="方正仿宋_GBK"/>
          <w:color w:val="auto"/>
          <w:sz w:val="32"/>
          <w:szCs w:val="32"/>
        </w:rPr>
        <w:t>需要，向</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提供的公司介绍、项目背景、项目内容和开展计划等相关资料，被视为保密资料，仅被用于它所规定的用途，除非得到</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的同意，不能向任何第三方透露。否则</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将保留采取法律措施的权利。</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bCs/>
          <w:color w:val="auto"/>
          <w:sz w:val="32"/>
          <w:szCs w:val="32"/>
        </w:rPr>
      </w:pPr>
      <w:bookmarkStart w:id="97" w:name="_Toc28254"/>
      <w:bookmarkStart w:id="98" w:name="_Toc26387"/>
      <w:bookmarkStart w:id="99" w:name="_Toc5026"/>
      <w:bookmarkStart w:id="100" w:name="_Toc26937"/>
      <w:bookmarkStart w:id="101" w:name="_Toc10316"/>
      <w:bookmarkStart w:id="102" w:name="_Toc10832"/>
      <w:bookmarkStart w:id="103" w:name="_Toc7585"/>
      <w:bookmarkStart w:id="104" w:name="_Toc28164"/>
      <w:bookmarkStart w:id="105" w:name="_Toc19333"/>
      <w:bookmarkStart w:id="106" w:name="_Toc20705"/>
      <w:bookmarkStart w:id="107" w:name="_Toc8929"/>
      <w:bookmarkStart w:id="108" w:name="_Toc17480"/>
      <w:bookmarkStart w:id="109" w:name="_Toc15248"/>
      <w:bookmarkStart w:id="110" w:name="_Toc19465"/>
      <w:r>
        <w:rPr>
          <w:rFonts w:hint="eastAsia" w:ascii="方正仿宋_GBK" w:hAnsi="方正仿宋_GBK" w:eastAsia="方正仿宋_GBK" w:cs="方正仿宋_GBK"/>
          <w:bCs/>
          <w:color w:val="auto"/>
          <w:sz w:val="32"/>
          <w:szCs w:val="32"/>
        </w:rPr>
        <w:t>1.3</w:t>
      </w:r>
      <w:r>
        <w:rPr>
          <w:rFonts w:hint="eastAsia" w:ascii="方正仿宋_GBK" w:hAnsi="方正仿宋_GBK" w:eastAsia="方正仿宋_GBK" w:cs="方正仿宋_GBK"/>
          <w:bCs/>
          <w:color w:val="auto"/>
          <w:sz w:val="32"/>
          <w:szCs w:val="32"/>
          <w:lang w:val="en-US" w:eastAsia="zh-CN"/>
        </w:rPr>
        <w:t>磋商</w:t>
      </w:r>
      <w:r>
        <w:rPr>
          <w:rFonts w:hint="eastAsia" w:ascii="方正仿宋_GBK" w:hAnsi="方正仿宋_GBK" w:eastAsia="方正仿宋_GBK" w:cs="方正仿宋_GBK"/>
          <w:bCs/>
          <w:color w:val="auto"/>
          <w:sz w:val="32"/>
          <w:szCs w:val="32"/>
        </w:rPr>
        <w:t>费用</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应承担所有与编写和提交</w:t>
      </w: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有关的费用,不论</w:t>
      </w:r>
      <w:r>
        <w:rPr>
          <w:rFonts w:hint="eastAsia" w:ascii="方正仿宋_GBK" w:hAnsi="方正仿宋_GBK" w:eastAsia="方正仿宋_GBK" w:cs="方正仿宋_GBK"/>
          <w:color w:val="auto"/>
          <w:sz w:val="32"/>
          <w:szCs w:val="32"/>
          <w:lang w:val="en-US" w:eastAsia="zh-CN"/>
        </w:rPr>
        <w:t>磋商</w:t>
      </w:r>
      <w:r>
        <w:rPr>
          <w:rFonts w:hint="eastAsia" w:ascii="方正仿宋_GBK" w:hAnsi="方正仿宋_GBK" w:eastAsia="方正仿宋_GBK" w:cs="方正仿宋_GBK"/>
          <w:color w:val="auto"/>
          <w:sz w:val="32"/>
          <w:szCs w:val="32"/>
        </w:rPr>
        <w:t>的结果如何，</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在任何情况下均无义务和责任承担这些费用。</w:t>
      </w:r>
    </w:p>
    <w:p>
      <w:pPr>
        <w:pStyle w:val="4"/>
        <w:keepNext w:val="0"/>
        <w:keepLines w:val="0"/>
        <w:pageBreakBefore w:val="0"/>
        <w:widowControl w:val="0"/>
        <w:numPr>
          <w:ilvl w:val="0"/>
          <w:numId w:val="0"/>
        </w:numPr>
        <w:tabs>
          <w:tab w:val="left" w:pos="420"/>
          <w:tab w:val="clear" w:pos="851"/>
        </w:tabs>
        <w:kinsoku/>
        <w:wordWrap/>
        <w:overflowPunct/>
        <w:topLinePunct w:val="0"/>
        <w:autoSpaceDE/>
        <w:autoSpaceDN/>
        <w:bidi w:val="0"/>
        <w:adjustRightInd/>
        <w:snapToGrid/>
        <w:spacing w:line="600" w:lineRule="exact"/>
        <w:ind w:right="0" w:rightChars="0"/>
        <w:jc w:val="both"/>
        <w:textAlignment w:val="auto"/>
        <w:rPr>
          <w:rFonts w:hint="eastAsia" w:ascii="方正仿宋_GBK" w:hAnsi="方正仿宋_GBK" w:eastAsia="方正仿宋_GBK" w:cs="方正仿宋_GBK"/>
          <w:b/>
          <w:bCs w:val="0"/>
          <w:color w:val="auto"/>
        </w:rPr>
      </w:pPr>
      <w:bookmarkStart w:id="111" w:name="_Toc3159"/>
      <w:bookmarkStart w:id="112" w:name="_Toc852"/>
      <w:bookmarkStart w:id="113" w:name="_Toc5395"/>
      <w:bookmarkStart w:id="114" w:name="_Toc29443"/>
      <w:bookmarkStart w:id="115" w:name="_Toc5092"/>
      <w:bookmarkStart w:id="116" w:name="_Toc11318"/>
      <w:bookmarkStart w:id="117" w:name="_Toc27592"/>
      <w:bookmarkStart w:id="118" w:name="_Toc1907"/>
      <w:bookmarkStart w:id="119" w:name="_Toc241"/>
      <w:bookmarkStart w:id="120" w:name="_Toc6524"/>
      <w:bookmarkStart w:id="121" w:name="_Toc2981"/>
      <w:bookmarkStart w:id="122" w:name="_Toc28382"/>
      <w:bookmarkStart w:id="123" w:name="_Toc25748"/>
      <w:bookmarkStart w:id="124" w:name="_Toc26470"/>
      <w:bookmarkStart w:id="125" w:name="_Toc17167"/>
      <w:bookmarkStart w:id="126" w:name="_Toc7787"/>
      <w:bookmarkStart w:id="127" w:name="_Toc4731"/>
      <w:bookmarkStart w:id="128" w:name="_Toc20957"/>
      <w:bookmarkStart w:id="129" w:name="_Toc24471"/>
      <w:r>
        <w:rPr>
          <w:rFonts w:hint="eastAsia" w:ascii="方正仿宋_GBK" w:hAnsi="方正仿宋_GBK" w:eastAsia="方正仿宋_GBK" w:cs="方正仿宋_GBK"/>
          <w:b/>
          <w:bCs w:val="0"/>
          <w:color w:val="auto"/>
        </w:rPr>
        <w:t>2</w:t>
      </w:r>
      <w:r>
        <w:rPr>
          <w:rFonts w:hint="eastAsia" w:ascii="方正仿宋_GBK" w:hAnsi="方正仿宋_GBK" w:eastAsia="方正仿宋_GBK" w:cs="方正仿宋_GBK"/>
          <w:b/>
          <w:bCs w:val="0"/>
          <w:color w:val="auto"/>
          <w:lang w:eastAsia="zh-CN"/>
        </w:rPr>
        <w:t>评审</w:t>
      </w:r>
      <w:r>
        <w:rPr>
          <w:rFonts w:hint="eastAsia" w:ascii="方正仿宋_GBK" w:hAnsi="方正仿宋_GBK" w:eastAsia="方正仿宋_GBK" w:cs="方正仿宋_GBK"/>
          <w:b/>
          <w:color w:val="auto"/>
        </w:rPr>
        <w:t>原则</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bCs/>
          <w:color w:val="auto"/>
          <w:sz w:val="32"/>
          <w:szCs w:val="32"/>
        </w:rPr>
      </w:pPr>
      <w:bookmarkStart w:id="130" w:name="_Toc6325"/>
      <w:bookmarkStart w:id="131" w:name="_Toc23734"/>
      <w:bookmarkStart w:id="132" w:name="_Toc22477"/>
      <w:bookmarkStart w:id="133" w:name="_Toc105"/>
      <w:bookmarkStart w:id="134" w:name="_Toc14713"/>
      <w:bookmarkStart w:id="135" w:name="_Toc15436"/>
      <w:bookmarkStart w:id="136" w:name="_Toc22023"/>
      <w:bookmarkStart w:id="137" w:name="_Toc15771"/>
      <w:bookmarkStart w:id="138" w:name="_Toc1609"/>
      <w:bookmarkStart w:id="139" w:name="_Toc4330"/>
      <w:bookmarkStart w:id="140" w:name="_Toc10561"/>
      <w:r>
        <w:rPr>
          <w:rFonts w:hint="eastAsia" w:ascii="方正仿宋_GBK" w:hAnsi="方正仿宋_GBK" w:eastAsia="方正仿宋_GBK" w:cs="方正仿宋_GBK"/>
          <w:bCs/>
          <w:color w:val="auto"/>
          <w:sz w:val="32"/>
          <w:szCs w:val="32"/>
        </w:rPr>
        <w:t>2.1</w:t>
      </w:r>
      <w:r>
        <w:rPr>
          <w:rFonts w:hint="eastAsia" w:ascii="方正仿宋_GBK" w:hAnsi="方正仿宋_GBK" w:eastAsia="方正仿宋_GBK" w:cs="方正仿宋_GBK"/>
          <w:bCs/>
          <w:color w:val="auto"/>
          <w:sz w:val="32"/>
          <w:szCs w:val="32"/>
          <w:lang w:eastAsia="zh-CN"/>
        </w:rPr>
        <w:t>评审</w:t>
      </w:r>
      <w:r>
        <w:rPr>
          <w:rFonts w:hint="eastAsia" w:ascii="方正仿宋_GBK" w:hAnsi="方正仿宋_GBK" w:eastAsia="方正仿宋_GBK" w:cs="方正仿宋_GBK"/>
          <w:bCs/>
          <w:color w:val="auto"/>
          <w:sz w:val="32"/>
          <w:szCs w:val="32"/>
        </w:rPr>
        <w:t>原则：</w:t>
      </w:r>
      <w:bookmarkEnd w:id="130"/>
      <w:bookmarkEnd w:id="131"/>
      <w:bookmarkEnd w:id="132"/>
      <w:bookmarkEnd w:id="133"/>
      <w:bookmarkEnd w:id="134"/>
      <w:bookmarkEnd w:id="135"/>
      <w:bookmarkEnd w:id="136"/>
      <w:bookmarkEnd w:id="137"/>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参照《中华人民共和国招标投标法》的原则进行</w:t>
      </w:r>
      <w:r>
        <w:rPr>
          <w:rFonts w:hint="eastAsia" w:ascii="方正仿宋_GBK" w:hAnsi="方正仿宋_GBK" w:eastAsia="方正仿宋_GBK" w:cs="方正仿宋_GBK"/>
          <w:color w:val="auto"/>
          <w:sz w:val="32"/>
          <w:szCs w:val="32"/>
          <w:lang w:eastAsia="zh-CN"/>
        </w:rPr>
        <w:t>评审</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方正仿宋_GBK" w:hAnsi="方正仿宋_GBK" w:eastAsia="方正仿宋_GBK" w:cs="方正仿宋_GBK"/>
          <w:bCs/>
          <w:color w:val="auto"/>
          <w:sz w:val="32"/>
          <w:szCs w:val="32"/>
        </w:rPr>
      </w:pPr>
      <w:bookmarkStart w:id="141" w:name="_Toc29253"/>
      <w:bookmarkStart w:id="142" w:name="_Toc19947"/>
      <w:bookmarkStart w:id="143" w:name="_Toc3210"/>
      <w:bookmarkStart w:id="144" w:name="_Toc28380"/>
      <w:bookmarkStart w:id="145" w:name="_Toc3565"/>
      <w:bookmarkStart w:id="146" w:name="_Toc2695"/>
      <w:bookmarkStart w:id="147" w:name="_Toc25041"/>
      <w:bookmarkStart w:id="148" w:name="_Toc19865"/>
      <w:bookmarkStart w:id="149" w:name="_Toc15512"/>
      <w:bookmarkStart w:id="150" w:name="_Toc26164"/>
      <w:bookmarkStart w:id="151" w:name="_Toc14575"/>
      <w:r>
        <w:rPr>
          <w:rFonts w:hint="eastAsia" w:ascii="方正仿宋_GBK" w:hAnsi="方正仿宋_GBK" w:eastAsia="方正仿宋_GBK" w:cs="方正仿宋_GBK"/>
          <w:bCs/>
          <w:color w:val="auto"/>
          <w:sz w:val="32"/>
          <w:szCs w:val="32"/>
        </w:rPr>
        <w:t>2.2评分标准：</w:t>
      </w:r>
      <w:bookmarkEnd w:id="141"/>
      <w:bookmarkEnd w:id="142"/>
      <w:bookmarkEnd w:id="143"/>
      <w:bookmarkEnd w:id="144"/>
      <w:bookmarkEnd w:id="145"/>
      <w:bookmarkEnd w:id="146"/>
      <w:bookmarkEnd w:id="147"/>
      <w:bookmarkEnd w:id="148"/>
      <w:bookmarkEnd w:id="149"/>
      <w:bookmarkEnd w:id="150"/>
      <w:bookmarkEnd w:id="151"/>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lang w:bidi="ar"/>
        </w:rPr>
        <w:t>本次评比采用综合评分法，分报价部分、商务部分、技术部分三项，满分为100分。评分标准</w:t>
      </w:r>
      <w:r>
        <w:rPr>
          <w:rFonts w:hint="eastAsia" w:ascii="方正仿宋_GBK" w:hAnsi="方正仿宋_GBK" w:eastAsia="方正仿宋_GBK" w:cs="方正仿宋_GBK"/>
          <w:color w:val="auto"/>
          <w:sz w:val="32"/>
          <w:szCs w:val="32"/>
        </w:rPr>
        <w:t>如下表：</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816"/>
        <w:gridCol w:w="840"/>
        <w:gridCol w:w="5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1747" w:type="dxa"/>
            <w:tcBorders>
              <w:top w:val="double" w:color="auto" w:sz="4" w:space="0"/>
              <w:left w:val="double" w:color="auto" w:sz="4" w:space="0"/>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color w:val="auto"/>
                <w:kern w:val="0"/>
                <w:sz w:val="21"/>
                <w:szCs w:val="21"/>
                <w:lang w:bidi="ar"/>
              </w:rPr>
              <w:t>项目</w:t>
            </w:r>
          </w:p>
        </w:tc>
        <w:tc>
          <w:tcPr>
            <w:tcW w:w="816" w:type="dxa"/>
            <w:tcBorders>
              <w:top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color w:val="auto"/>
                <w:kern w:val="0"/>
                <w:sz w:val="21"/>
                <w:szCs w:val="21"/>
                <w:lang w:bidi="ar"/>
              </w:rPr>
              <w:t>评分项</w:t>
            </w:r>
          </w:p>
        </w:tc>
        <w:tc>
          <w:tcPr>
            <w:tcW w:w="840" w:type="dxa"/>
            <w:tcBorders>
              <w:top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color w:val="auto"/>
                <w:kern w:val="0"/>
                <w:sz w:val="21"/>
                <w:szCs w:val="21"/>
                <w:lang w:bidi="ar"/>
              </w:rPr>
              <w:t>最高分值</w:t>
            </w:r>
          </w:p>
        </w:tc>
        <w:tc>
          <w:tcPr>
            <w:tcW w:w="5119" w:type="dxa"/>
            <w:tcBorders>
              <w:top w:val="double" w:color="auto" w:sz="4" w:space="0"/>
              <w:righ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color w:val="auto"/>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47" w:type="dxa"/>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报价</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（总分30分）</w:t>
            </w: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投标总价</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30</w:t>
            </w:r>
          </w:p>
        </w:tc>
        <w:tc>
          <w:tcPr>
            <w:tcW w:w="5119" w:type="dxa"/>
            <w:tcBorders>
              <w:bottom w:val="single" w:color="auto" w:sz="4" w:space="0"/>
              <w:right w:val="double" w:color="auto" w:sz="4" w:space="0"/>
            </w:tcBorders>
            <w:textDirection w:val="lrTb"/>
            <w:vAlign w:val="top"/>
          </w:tcPr>
          <w:p>
            <w:pPr>
              <w:keepNext w:val="0"/>
              <w:keepLines w:val="0"/>
              <w:pageBreakBefore w:val="0"/>
              <w:kinsoku/>
              <w:wordWrap/>
              <w:overflowPunct/>
              <w:topLinePunct w:val="0"/>
              <w:autoSpaceDE/>
              <w:autoSpaceDN/>
              <w:bidi w:val="0"/>
              <w:adjustRightInd w:val="0"/>
              <w:snapToGrid w:val="0"/>
              <w:spacing w:line="400" w:lineRule="exact"/>
              <w:textAlignment w:val="auto"/>
              <w:rPr>
                <w:rFonts w:ascii="方正仿宋_GBK" w:hAnsi="方正仿宋_GBK" w:eastAsia="方正仿宋_GBK" w:cs="方正仿宋_GBK"/>
                <w:snapToGrid w:val="0"/>
                <w:color w:val="000000"/>
                <w:kern w:val="0"/>
                <w:szCs w:val="21"/>
                <w:highlight w:val="none"/>
              </w:rPr>
            </w:pP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基准价为所有满足</w:t>
            </w:r>
            <w:r>
              <w:rPr>
                <w:rFonts w:hint="eastAsia" w:ascii="方正仿宋_GBK" w:hAnsi="方正仿宋_GBK" w:eastAsia="方正仿宋_GBK" w:cs="方正仿宋_GBK"/>
                <w:snapToGrid w:val="0"/>
                <w:color w:val="000000"/>
                <w:kern w:val="0"/>
                <w:szCs w:val="21"/>
                <w:highlight w:val="none"/>
                <w:lang w:eastAsia="zh-CN"/>
              </w:rPr>
              <w:t>响应人</w:t>
            </w:r>
            <w:r>
              <w:rPr>
                <w:rFonts w:ascii="方正仿宋_GBK" w:hAnsi="方正仿宋_GBK" w:eastAsia="方正仿宋_GBK" w:cs="方正仿宋_GBK"/>
                <w:snapToGrid w:val="0"/>
                <w:color w:val="000000"/>
                <w:kern w:val="0"/>
                <w:szCs w:val="21"/>
                <w:highlight w:val="none"/>
              </w:rPr>
              <w:t>资格要求的</w:t>
            </w:r>
            <w:r>
              <w:rPr>
                <w:rFonts w:hint="eastAsia" w:ascii="方正仿宋_GBK" w:hAnsi="方正仿宋_GBK" w:eastAsia="方正仿宋_GBK" w:cs="方正仿宋_GBK"/>
                <w:snapToGrid w:val="0"/>
                <w:color w:val="000000"/>
                <w:kern w:val="0"/>
                <w:szCs w:val="21"/>
                <w:highlight w:val="none"/>
              </w:rPr>
              <w:t>磋商</w:t>
            </w:r>
            <w:r>
              <w:rPr>
                <w:rFonts w:ascii="方正仿宋_GBK" w:hAnsi="方正仿宋_GBK" w:eastAsia="方正仿宋_GBK" w:cs="方正仿宋_GBK"/>
                <w:snapToGrid w:val="0"/>
                <w:color w:val="000000"/>
                <w:kern w:val="0"/>
                <w:szCs w:val="21"/>
                <w:highlight w:val="none"/>
              </w:rPr>
              <w:t>文件报价的平均值。</w:t>
            </w:r>
          </w:p>
          <w:p>
            <w:pPr>
              <w:keepNext w:val="0"/>
              <w:keepLines w:val="0"/>
              <w:pageBreakBefore w:val="0"/>
              <w:kinsoku/>
              <w:wordWrap/>
              <w:overflowPunct/>
              <w:topLinePunct w:val="0"/>
              <w:autoSpaceDE/>
              <w:autoSpaceDN/>
              <w:bidi w:val="0"/>
              <w:adjustRightInd w:val="0"/>
              <w:snapToGrid w:val="0"/>
              <w:spacing w:line="400" w:lineRule="exact"/>
              <w:textAlignment w:val="auto"/>
              <w:rPr>
                <w:rFonts w:ascii="方正仿宋_GBK" w:hAnsi="方正仿宋_GBK" w:eastAsia="方正仿宋_GBK" w:cs="方正仿宋_GBK"/>
                <w:snapToGrid w:val="0"/>
                <w:color w:val="000000"/>
                <w:kern w:val="0"/>
                <w:szCs w:val="21"/>
                <w:highlight w:val="none"/>
              </w:rPr>
            </w:pPr>
            <w:r>
              <w:rPr>
                <w:rFonts w:ascii="方正仿宋_GBK" w:hAnsi="方正仿宋_GBK" w:eastAsia="方正仿宋_GBK" w:cs="方正仿宋_GBK"/>
                <w:snapToGrid w:val="0"/>
                <w:color w:val="000000"/>
                <w:kern w:val="0"/>
                <w:szCs w:val="21"/>
                <w:highlight w:val="none"/>
              </w:rPr>
              <w:t>投标报价得分＝（1-ABS(投标报价-</w:t>
            </w: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w:t>
            </w: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w:t>
            </w:r>
            <w:r>
              <w:rPr>
                <w:rFonts w:hint="eastAsia" w:ascii="方正仿宋_GBK" w:hAnsi="方正仿宋_GBK" w:eastAsia="方正仿宋_GBK" w:cs="方正仿宋_GBK"/>
                <w:snapToGrid w:val="0"/>
                <w:color w:val="000000"/>
                <w:kern w:val="0"/>
                <w:szCs w:val="21"/>
                <w:highlight w:val="none"/>
                <w:lang w:val="en-US" w:eastAsia="zh-CN"/>
              </w:rPr>
              <w:t>3</w:t>
            </w:r>
            <w:r>
              <w:rPr>
                <w:rFonts w:ascii="方正仿宋_GBK" w:hAnsi="方正仿宋_GBK" w:eastAsia="方正仿宋_GBK" w:cs="方正仿宋_GBK"/>
                <w:snapToGrid w:val="0"/>
                <w:color w:val="000000"/>
                <w:kern w:val="0"/>
                <w:szCs w:val="21"/>
                <w:highlight w:val="none"/>
              </w:rPr>
              <w:t>0</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ascii="方正仿宋_GBK" w:hAnsi="方正仿宋_GBK" w:eastAsia="方正仿宋_GBK" w:cs="方正仿宋_GBK"/>
                <w:snapToGrid w:val="0"/>
                <w:color w:val="000000"/>
                <w:kern w:val="0"/>
                <w:szCs w:val="21"/>
                <w:highlight w:val="none"/>
              </w:rPr>
              <w:t>投标报价为项目总体含税价，计算结果四舍五入保留两位小数。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47" w:type="dxa"/>
            <w:vMerge w:val="restart"/>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技术部分</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（总分35分）</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收单、理</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赔等服务</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25</w:t>
            </w:r>
          </w:p>
        </w:tc>
        <w:tc>
          <w:tcPr>
            <w:tcW w:w="5119" w:type="dxa"/>
            <w:tcBorders>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1、承诺专人上门收单，每月上门服务不少于1次，满足得5分；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2、服务本企业并在理赔资料齐全的情况下，7天（含）内结案，得5分，8-14天（含）内结案，得3分，14天以上结案，不得分；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3、提供理赔查询服务：如专职服务人员查询、公司客服电话查询、公司APP查询、微信公众号查询、公司官网查询等，每提供一项得1分，最多得5分；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4、提供咨询答疑服务：如专职服务人员咨询答疑、公司客服电话咨询答疑、线上客服咨询答疑，每提供一项得1分，最多得3分；</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小金额理赔案件免收发票原件，参与响应人提供理赔案件免收发票原件的金额承诺，金额在1万元（含）以上的，得7分，8000元（含）-1万元以上的，得5分，6000元（含）-8000元以上的，得3分，4000元（含）-6000元以上的，得1分，4000元以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其他特色</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服务</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10</w:t>
            </w:r>
          </w:p>
        </w:tc>
        <w:tc>
          <w:tcPr>
            <w:tcW w:w="5119" w:type="dxa"/>
            <w:tcBorders>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1、设立VIP通道进行理赔；</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2、报案和投诉当天处理；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3、无偿提供就医陪诊服务（协助员工建号取卡、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陪检查、陪取药、代取报告）；</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4、无偿提供住院床位安排服务（10个工作日内）；</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5、能提供院前、院中、院后患者关怀服务；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6、能通过自身系统平台提供全国范围内三甲医院挂号的医疗服务，完成时效7个工作日(含)内；</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7、为员工提供专用的健康管理APP，能提供线上问诊服务；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8、可免费开设健康讲座；</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9、定期提供理赔数据报告；</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10、为员工提供综合金融保险服务。</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以上项目每满足一项得1分，满分10分。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服务方案</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10</w:t>
            </w:r>
          </w:p>
        </w:tc>
        <w:tc>
          <w:tcPr>
            <w:tcW w:w="5119" w:type="dxa"/>
            <w:tcBorders>
              <w:bottom w:val="single" w:color="auto" w:sz="4" w:space="0"/>
              <w:right w:val="double" w:color="auto" w:sz="4" w:space="0"/>
            </w:tcBorders>
            <w:textDirection w:val="lrTb"/>
            <w:vAlign w:val="center"/>
          </w:tcPr>
          <w:p>
            <w:pPr>
              <w:pStyle w:val="28"/>
              <w:spacing w:line="360" w:lineRule="exact"/>
              <w:ind w:firstLine="0" w:firstLineChars="0"/>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根据</w:t>
            </w:r>
            <w:r>
              <w:rPr>
                <w:rFonts w:hint="eastAsia" w:ascii="方正仿宋_GBK" w:hAnsi="方正仿宋_GBK" w:eastAsia="方正仿宋_GBK" w:cs="方正仿宋_GBK"/>
                <w:szCs w:val="21"/>
                <w:lang w:val="en-US" w:eastAsia="zh-CN"/>
              </w:rPr>
              <w:t>响应人</w:t>
            </w:r>
            <w:r>
              <w:rPr>
                <w:rFonts w:hint="eastAsia" w:ascii="方正仿宋_GBK" w:hAnsi="方正仿宋_GBK" w:eastAsia="方正仿宋_GBK" w:cs="方正仿宋_GBK"/>
                <w:szCs w:val="21"/>
              </w:rPr>
              <w:t>提供的服务方案，包括项目</w:t>
            </w:r>
            <w:r>
              <w:rPr>
                <w:rFonts w:hint="eastAsia" w:ascii="方正仿宋_GBK" w:hAnsi="方正仿宋_GBK" w:eastAsia="方正仿宋_GBK" w:cs="方正仿宋_GBK"/>
                <w:szCs w:val="21"/>
                <w:lang w:val="en-US" w:eastAsia="zh-CN"/>
              </w:rPr>
              <w:t>险种、保险责任、保险金额、详细责任描述等方面进行横向综合评判打分：</w:t>
            </w:r>
          </w:p>
          <w:p>
            <w:pPr>
              <w:widowControl/>
              <w:spacing w:beforeLines="0" w:afterLines="0" w:line="360" w:lineRule="exact"/>
              <w:jc w:val="lef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（1）方案完整合理、符合需要、操作简便、赔付及时，得8-10分；</w:t>
            </w:r>
          </w:p>
          <w:p>
            <w:pPr>
              <w:pStyle w:val="28"/>
              <w:spacing w:line="360" w:lineRule="exact"/>
              <w:ind w:firstLine="0" w:firstLineChars="0"/>
              <w:rPr>
                <w:rFonts w:ascii="方正仿宋_GBK" w:hAnsi="方正仿宋_GBK" w:eastAsia="方正仿宋_GBK" w:cs="方正仿宋_GBK"/>
                <w:szCs w:val="21"/>
              </w:rPr>
            </w:pPr>
            <w:r>
              <w:rPr>
                <w:rFonts w:hint="eastAsia" w:ascii="方正仿宋_GBK" w:hAnsi="方正仿宋_GBK" w:eastAsia="方正仿宋_GBK" w:cs="方正仿宋_GBK"/>
                <w:szCs w:val="21"/>
                <w:lang w:eastAsia="zh-CN"/>
              </w:rPr>
              <w:t>（2）方案较为完整合理、基本符合需要、操作较为简便、赔付较为及时，得5-7分；</w:t>
            </w:r>
          </w:p>
          <w:p>
            <w:pPr>
              <w:pStyle w:val="28"/>
              <w:spacing w:line="360" w:lineRule="exact"/>
              <w:ind w:firstLine="0" w:firstLineChars="0"/>
              <w:rPr>
                <w:rFonts w:hint="eastAsia"/>
                <w:color w:val="0000FF"/>
                <w:lang w:val="en-US" w:eastAsia="zh-CN"/>
              </w:rPr>
            </w:pPr>
            <w:r>
              <w:rPr>
                <w:rFonts w:ascii="方正仿宋_GBK" w:hAnsi="方正仿宋_GBK" w:eastAsia="方正仿宋_GBK" w:cs="方正仿宋_GBK"/>
                <w:szCs w:val="21"/>
              </w:rPr>
              <w:t>（3）</w:t>
            </w:r>
            <w:r>
              <w:rPr>
                <w:rFonts w:hint="eastAsia" w:ascii="方正仿宋_GBK" w:hAnsi="方正仿宋_GBK" w:eastAsia="方正仿宋_GBK" w:cs="方正仿宋_GBK"/>
                <w:szCs w:val="21"/>
                <w:lang w:val="en-US" w:eastAsia="zh-CN"/>
              </w:rPr>
              <w:t>提供简单的方案、不太符合需要、操作繁琐、赔付较慢，得0-4分。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1747" w:type="dxa"/>
            <w:vMerge w:val="restart"/>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商务部分</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color w:val="auto"/>
                <w:kern w:val="0"/>
                <w:sz w:val="21"/>
                <w:szCs w:val="21"/>
                <w:lang w:bidi="ar"/>
              </w:rPr>
              <w:t>（总分</w:t>
            </w:r>
            <w:r>
              <w:rPr>
                <w:rFonts w:hint="eastAsia" w:ascii="方正仿宋_GBK" w:hAnsi="方正仿宋_GBK" w:eastAsia="方正仿宋_GBK" w:cs="方正仿宋_GBK"/>
                <w:color w:val="auto"/>
                <w:kern w:val="0"/>
                <w:sz w:val="21"/>
                <w:szCs w:val="21"/>
                <w:lang w:val="en-US" w:eastAsia="zh-CN" w:bidi="ar"/>
              </w:rPr>
              <w:t>35</w:t>
            </w:r>
            <w:r>
              <w:rPr>
                <w:rFonts w:hint="eastAsia" w:ascii="方正仿宋_GBK" w:hAnsi="方正仿宋_GBK" w:eastAsia="方正仿宋_GBK" w:cs="方正仿宋_GBK"/>
                <w:color w:val="auto"/>
                <w:kern w:val="0"/>
                <w:sz w:val="21"/>
                <w:szCs w:val="21"/>
                <w:lang w:bidi="ar"/>
              </w:rPr>
              <w:t>分）</w:t>
            </w: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公司规模</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5119" w:type="dxa"/>
            <w:tcBorders>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注册资金大于40亿元（含），得5分；30亿元（含）到40亿元，得3分；30亿元以下，得1分。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总公司偿</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付能力充</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足率</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5119" w:type="dxa"/>
            <w:tcBorders>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根据响应人总公司2022年第三、四季度“综合偿付能力充足率”结果值区间打分。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1、单个季度结果值在 250%(含 )及以上，得 2.5 分/个;</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2、单个季度结果值在 200% (含 )-250%，得1.5分1个;</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3、单个季度结果值在 200%以下，得 0.5 分/个。</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注：需提供2022年第三、四季度证明其核心偿付能力的审计报告复印件并加盖公章，未提供的不得分。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总公司风</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险综合评</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级</w:t>
            </w:r>
          </w:p>
        </w:tc>
        <w:tc>
          <w:tcPr>
            <w:tcW w:w="840" w:type="dxa"/>
            <w:tcBorders>
              <w:bottom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5119" w:type="dxa"/>
            <w:tcBorders>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提供响应人总公司2022年1-4季度的“最近一期风险综合评级”。</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1、4期均是A，得5分；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2、3期是A，得4分；</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3、2期是A，得2分；</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4、1期是A，得1分；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5、无A，不得分。</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以响应人官网公布的2022年1-4季度，共4个季度偿付能力报告摘要中风险监管评级结果为准，提供公布网址及截图并加盖公章，未提供的不得分。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总公司保</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险消费投</w:t>
            </w:r>
          </w:p>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诉情况</w:t>
            </w:r>
          </w:p>
        </w:tc>
        <w:tc>
          <w:tcPr>
            <w:tcW w:w="840" w:type="dxa"/>
            <w:tcBorders>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3</w:t>
            </w:r>
          </w:p>
        </w:tc>
        <w:tc>
          <w:tcPr>
            <w:tcW w:w="5119" w:type="dxa"/>
            <w:tcBorders>
              <w:left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银保监会最近一期监管机构统计消费投诉情况中万张保单投诉量（件/万张）最低的得3分，以此类推排名第二的得2分，排名第三得1分，排名第三以后的，不得分。</w:t>
            </w:r>
          </w:p>
          <w:p>
            <w:pPr>
              <w:widowControl/>
              <w:spacing w:beforeLines="0" w:afterLines="0" w:line="360" w:lineRule="exact"/>
              <w:jc w:val="left"/>
              <w:rPr>
                <w:rFonts w:hint="eastAsia" w:ascii="方正仿宋_GBK" w:hAnsi="方正仿宋_GBK" w:eastAsia="方正仿宋_GBK" w:cs="方正仿宋_GBK"/>
                <w:color w:val="0000FF"/>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以银保监消保发的《中国银保监会消费者权益保护局关于2022年X季度保险消费投诉情况的通报》为准，提供公布数据截图。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747" w:type="dxa"/>
            <w:vMerge w:val="continue"/>
            <w:tcBorders>
              <w:lef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行政监管结果</w:t>
            </w:r>
          </w:p>
        </w:tc>
        <w:tc>
          <w:tcPr>
            <w:tcW w:w="840" w:type="dxa"/>
            <w:tcBorders>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w:t>
            </w:r>
          </w:p>
        </w:tc>
        <w:tc>
          <w:tcPr>
            <w:tcW w:w="5119" w:type="dxa"/>
            <w:tcBorders>
              <w:left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提供重庆保监局网站2020-2022年度行政处罚情况汇总，没有处罚得3分，有1份处罚扣1分，扣完为止。如有处罚情况，还需提供处罚情况说明。未提供处罚情况说明或情况不实得0分。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以重庆市保监局网站公布行政处罚截图为准，提供公布网址及截图，没有处罚的响应人还须提供无处罚书面声明。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747" w:type="dxa"/>
            <w:vMerge w:val="continue"/>
            <w:tcBorders>
              <w:left w:val="double" w:color="auto" w:sz="4" w:space="0"/>
              <w:bottom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0000FF"/>
                <w:kern w:val="0"/>
                <w:sz w:val="21"/>
                <w:szCs w:val="21"/>
                <w:lang w:bidi="ar"/>
              </w:rPr>
            </w:pPr>
          </w:p>
        </w:tc>
        <w:tc>
          <w:tcPr>
            <w:tcW w:w="816" w:type="dxa"/>
            <w:tcBorders>
              <w:bottom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过往项目</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经验</w:t>
            </w:r>
          </w:p>
        </w:tc>
        <w:tc>
          <w:tcPr>
            <w:tcW w:w="840" w:type="dxa"/>
            <w:tcBorders>
              <w:bottom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w:t>
            </w:r>
          </w:p>
        </w:tc>
        <w:tc>
          <w:tcPr>
            <w:tcW w:w="5119" w:type="dxa"/>
            <w:tcBorders>
              <w:left w:val="single" w:color="auto" w:sz="4" w:space="0"/>
              <w:bottom w:val="doub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提供最近3年来（即2020年3月至2023年2月）服务过员工人数超过1000人（含）以上的补充医疗保险项目（附合同关键页），每提供一个得2分，最多得4分。未提供得0分。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以提供的合同或协议复印件，至少包含合同或协议封面页、人数页、签字盖章页（敏感信息如金额等可处理不显示），同一客户不同保险年度计为1个项目。</w:t>
            </w:r>
          </w:p>
        </w:tc>
      </w:tr>
    </w:tbl>
    <w:p>
      <w:pPr>
        <w:pStyle w:val="4"/>
        <w:keepNext w:val="0"/>
        <w:keepLines w:val="0"/>
        <w:pageBreakBefore w:val="0"/>
        <w:widowControl w:val="0"/>
        <w:numPr>
          <w:ilvl w:val="0"/>
          <w:numId w:val="0"/>
        </w:numPr>
        <w:tabs>
          <w:tab w:val="left" w:pos="420"/>
          <w:tab w:val="clear" w:pos="851"/>
        </w:tabs>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b/>
          <w:color w:val="auto"/>
        </w:rPr>
      </w:pPr>
      <w:bookmarkStart w:id="152" w:name="_Toc23391"/>
      <w:bookmarkStart w:id="153" w:name="_Toc12592"/>
      <w:bookmarkStart w:id="154" w:name="_Toc11263"/>
      <w:bookmarkStart w:id="155" w:name="_Toc26576"/>
      <w:bookmarkStart w:id="156" w:name="_Toc10191"/>
      <w:bookmarkStart w:id="157" w:name="_Toc27541"/>
      <w:bookmarkStart w:id="158" w:name="_Toc28186"/>
      <w:bookmarkStart w:id="159" w:name="_Toc3443"/>
      <w:bookmarkStart w:id="160" w:name="_Toc12685"/>
      <w:bookmarkStart w:id="161" w:name="_Toc27232"/>
      <w:bookmarkStart w:id="162" w:name="_Toc5915"/>
      <w:bookmarkStart w:id="163" w:name="_Toc13178"/>
      <w:bookmarkStart w:id="164" w:name="_Toc23250"/>
      <w:bookmarkStart w:id="165" w:name="_Toc12145"/>
      <w:bookmarkStart w:id="166" w:name="_Toc5766"/>
      <w:bookmarkStart w:id="167" w:name="_Toc774"/>
      <w:bookmarkStart w:id="168" w:name="_Toc26813"/>
      <w:bookmarkStart w:id="169" w:name="_Toc12849"/>
      <w:bookmarkStart w:id="170" w:name="_Toc11749"/>
      <w:r>
        <w:rPr>
          <w:rFonts w:hint="eastAsia" w:ascii="方正仿宋_GBK" w:hAnsi="方正仿宋_GBK" w:eastAsia="方正仿宋_GBK" w:cs="方正仿宋_GBK"/>
          <w:b/>
          <w:color w:val="auto"/>
        </w:rPr>
        <w:t>3项目的</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方正仿宋_GBK" w:hAnsi="方正仿宋_GBK" w:eastAsia="方正仿宋_GBK" w:cs="方正仿宋_GBK"/>
          <w:b/>
          <w:color w:val="auto"/>
          <w:lang w:val="en-US" w:eastAsia="zh-CN"/>
        </w:rPr>
        <w:t>成交</w:t>
      </w:r>
      <w:bookmarkEnd w:id="168"/>
      <w:bookmarkEnd w:id="169"/>
      <w:bookmarkEnd w:id="17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bCs/>
          <w:color w:val="auto"/>
          <w:sz w:val="32"/>
          <w:szCs w:val="32"/>
        </w:rPr>
      </w:pPr>
      <w:bookmarkStart w:id="171" w:name="_Toc14081"/>
      <w:bookmarkStart w:id="172" w:name="_Toc20354"/>
      <w:bookmarkStart w:id="173" w:name="_Toc17590"/>
      <w:bookmarkStart w:id="174" w:name="_Toc14898"/>
      <w:bookmarkStart w:id="175" w:name="_Toc24415"/>
      <w:bookmarkStart w:id="176" w:name="_Toc29961"/>
      <w:bookmarkStart w:id="177" w:name="_Toc12719"/>
      <w:bookmarkStart w:id="178" w:name="_Toc4097"/>
      <w:bookmarkStart w:id="179" w:name="_Toc20762"/>
      <w:bookmarkStart w:id="180" w:name="_Toc29292"/>
      <w:bookmarkStart w:id="181" w:name="_Toc8171"/>
      <w:bookmarkStart w:id="182" w:name="_Toc21916"/>
      <w:bookmarkStart w:id="183" w:name="_Toc3685"/>
      <w:bookmarkStart w:id="184" w:name="_Toc28946"/>
      <w:r>
        <w:rPr>
          <w:rFonts w:hint="eastAsia" w:ascii="方正仿宋_GBK" w:hAnsi="方正仿宋_GBK" w:eastAsia="方正仿宋_GBK" w:cs="方正仿宋_GBK"/>
          <w:bCs/>
          <w:color w:val="auto"/>
          <w:sz w:val="32"/>
          <w:szCs w:val="32"/>
        </w:rPr>
        <w:t>3.1</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bCs/>
          <w:color w:val="auto"/>
          <w:sz w:val="32"/>
          <w:szCs w:val="32"/>
        </w:rPr>
        <w:t>候选人及</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bCs/>
          <w:color w:val="auto"/>
          <w:sz w:val="32"/>
          <w:szCs w:val="32"/>
        </w:rPr>
        <w:t>人</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3.1.1</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按照采购小组推荐的且排序第一的</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候选人为</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人；名次并列时由</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选择报价较低的</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候选人为</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不得在</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候选人之外确定</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人。</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不保证最低价</w:t>
      </w:r>
      <w:r>
        <w:rPr>
          <w:rFonts w:hint="eastAsia" w:ascii="方正仿宋_GBK" w:hAnsi="方正仿宋_GBK" w:eastAsia="方正仿宋_GBK" w:cs="方正仿宋_GBK"/>
          <w:bCs/>
          <w:color w:val="auto"/>
          <w:sz w:val="32"/>
          <w:szCs w:val="32"/>
          <w:lang w:val="en-US" w:eastAsia="zh-CN"/>
        </w:rPr>
        <w:t>成交</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3.1.2</w:t>
      </w:r>
      <w:r>
        <w:rPr>
          <w:rFonts w:hint="eastAsia" w:ascii="方正仿宋_GBK" w:hAnsi="方正仿宋_GBK" w:eastAsia="方正仿宋_GBK" w:cs="方正仿宋_GBK"/>
          <w:color w:val="auto"/>
          <w:sz w:val="32"/>
          <w:szCs w:val="32"/>
          <w:lang w:eastAsia="zh-CN"/>
        </w:rPr>
        <w:t>成交</w:t>
      </w:r>
      <w:r>
        <w:rPr>
          <w:rFonts w:hint="eastAsia" w:ascii="方正仿宋_GBK" w:hAnsi="方正仿宋_GBK" w:eastAsia="方正仿宋_GBK" w:cs="方正仿宋_GBK"/>
          <w:color w:val="auto"/>
          <w:sz w:val="32"/>
          <w:szCs w:val="32"/>
        </w:rPr>
        <w:t>人需在领到</w:t>
      </w:r>
      <w:r>
        <w:rPr>
          <w:rFonts w:hint="eastAsia" w:ascii="方正仿宋_GBK" w:hAnsi="方正仿宋_GBK" w:eastAsia="方正仿宋_GBK" w:cs="方正仿宋_GBK"/>
          <w:color w:val="auto"/>
          <w:sz w:val="32"/>
          <w:szCs w:val="32"/>
          <w:lang w:eastAsia="zh-CN"/>
        </w:rPr>
        <w:t>成交通知书</w:t>
      </w:r>
      <w:r>
        <w:rPr>
          <w:rFonts w:hint="eastAsia" w:ascii="方正仿宋_GBK" w:hAnsi="方正仿宋_GBK" w:eastAsia="方正仿宋_GBK" w:cs="方正仿宋_GBK"/>
          <w:color w:val="auto"/>
          <w:sz w:val="32"/>
          <w:szCs w:val="32"/>
        </w:rPr>
        <w:t>30日内与</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签订合同，无故30日内未与</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签订合同的视为放弃</w:t>
      </w:r>
      <w:r>
        <w:rPr>
          <w:rFonts w:hint="eastAsia" w:ascii="方正仿宋_GBK" w:hAnsi="方正仿宋_GBK" w:eastAsia="方正仿宋_GBK" w:cs="方正仿宋_GBK"/>
          <w:color w:val="auto"/>
          <w:sz w:val="32"/>
          <w:szCs w:val="32"/>
          <w:lang w:eastAsia="zh-CN"/>
        </w:rPr>
        <w:t>成交</w:t>
      </w:r>
      <w:r>
        <w:rPr>
          <w:rFonts w:hint="eastAsia" w:ascii="方正仿宋_GBK" w:hAnsi="方正仿宋_GBK" w:eastAsia="方正仿宋_GBK" w:cs="方正仿宋_GBK"/>
          <w:color w:val="auto"/>
          <w:sz w:val="32"/>
          <w:szCs w:val="32"/>
        </w:rPr>
        <w:t>资格，</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有权按法律法规在其他</w:t>
      </w:r>
      <w:r>
        <w:rPr>
          <w:rFonts w:hint="eastAsia" w:ascii="方正仿宋_GBK" w:hAnsi="方正仿宋_GBK" w:eastAsia="方正仿宋_GBK" w:cs="方正仿宋_GBK"/>
          <w:color w:val="auto"/>
          <w:sz w:val="32"/>
          <w:szCs w:val="32"/>
          <w:lang w:eastAsia="zh-CN"/>
        </w:rPr>
        <w:t>成交</w:t>
      </w:r>
      <w:r>
        <w:rPr>
          <w:rFonts w:hint="eastAsia" w:ascii="方正仿宋_GBK" w:hAnsi="方正仿宋_GBK" w:eastAsia="方正仿宋_GBK" w:cs="方正仿宋_GBK"/>
          <w:color w:val="auto"/>
          <w:sz w:val="32"/>
          <w:szCs w:val="32"/>
        </w:rPr>
        <w:t>候选人中依次选择</w:t>
      </w:r>
      <w:r>
        <w:rPr>
          <w:rFonts w:hint="eastAsia" w:ascii="方正仿宋_GBK" w:hAnsi="方正仿宋_GBK" w:eastAsia="方正仿宋_GBK" w:cs="方正仿宋_GBK"/>
          <w:color w:val="auto"/>
          <w:sz w:val="32"/>
          <w:szCs w:val="32"/>
          <w:lang w:eastAsia="zh-CN"/>
        </w:rPr>
        <w:t>成交</w:t>
      </w:r>
      <w:r>
        <w:rPr>
          <w:rFonts w:hint="eastAsia" w:ascii="方正仿宋_GBK" w:hAnsi="方正仿宋_GBK" w:eastAsia="方正仿宋_GBK" w:cs="方正仿宋_GBK"/>
          <w:color w:val="auto"/>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bCs/>
          <w:color w:val="auto"/>
          <w:sz w:val="32"/>
          <w:szCs w:val="32"/>
        </w:rPr>
      </w:pPr>
      <w:bookmarkStart w:id="185" w:name="_Toc12012"/>
      <w:bookmarkStart w:id="186" w:name="_Toc15336"/>
      <w:bookmarkStart w:id="187" w:name="_Toc19223"/>
      <w:bookmarkStart w:id="188" w:name="_Toc29913"/>
      <w:bookmarkStart w:id="189" w:name="_Toc31783"/>
      <w:bookmarkStart w:id="190" w:name="_Toc31908"/>
      <w:bookmarkStart w:id="191" w:name="_Toc21948"/>
      <w:bookmarkStart w:id="192" w:name="_Toc13656"/>
      <w:bookmarkStart w:id="193" w:name="_Toc30388"/>
      <w:bookmarkStart w:id="194" w:name="_Toc425"/>
      <w:bookmarkStart w:id="195" w:name="_Toc15253"/>
      <w:bookmarkStart w:id="196" w:name="_Toc23210"/>
      <w:bookmarkStart w:id="197" w:name="_Toc31709"/>
      <w:bookmarkStart w:id="198" w:name="_Toc27485"/>
      <w:r>
        <w:rPr>
          <w:rFonts w:hint="eastAsia" w:ascii="方正仿宋_GBK" w:hAnsi="方正仿宋_GBK" w:eastAsia="方正仿宋_GBK" w:cs="方正仿宋_GBK"/>
          <w:bCs/>
          <w:color w:val="auto"/>
          <w:sz w:val="32"/>
          <w:szCs w:val="32"/>
        </w:rPr>
        <w:t>3.2拒绝任何一户或所有</w:t>
      </w:r>
      <w:r>
        <w:rPr>
          <w:rFonts w:hint="eastAsia" w:ascii="方正仿宋_GBK" w:hAnsi="方正仿宋_GBK" w:eastAsia="方正仿宋_GBK" w:cs="方正仿宋_GBK"/>
          <w:bCs/>
          <w:color w:val="auto"/>
          <w:sz w:val="32"/>
          <w:szCs w:val="32"/>
          <w:lang w:val="en-US" w:eastAsia="zh-CN"/>
        </w:rPr>
        <w:t>磋商</w:t>
      </w:r>
      <w:r>
        <w:rPr>
          <w:rFonts w:hint="eastAsia" w:ascii="方正仿宋_GBK" w:hAnsi="方正仿宋_GBK" w:eastAsia="方正仿宋_GBK" w:cs="方正仿宋_GBK"/>
          <w:bCs/>
          <w:color w:val="auto"/>
          <w:sz w:val="32"/>
          <w:szCs w:val="32"/>
        </w:rPr>
        <w:t>的权利</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3.2.</w:t>
      </w:r>
      <w:r>
        <w:rPr>
          <w:rFonts w:hint="eastAsia" w:ascii="方正仿宋_GBK" w:hAnsi="方正仿宋_GBK" w:eastAsia="方正仿宋_GBK" w:cs="方正仿宋_GBK"/>
          <w:color w:val="auto"/>
          <w:sz w:val="32"/>
          <w:szCs w:val="32"/>
        </w:rPr>
        <w:t>1采购小组经评审，认为所有</w:t>
      </w:r>
      <w:r>
        <w:rPr>
          <w:rFonts w:hint="eastAsia" w:ascii="方正仿宋_GBK" w:hAnsi="方正仿宋_GBK" w:eastAsia="方正仿宋_GBK" w:cs="方正仿宋_GBK"/>
          <w:color w:val="auto"/>
          <w:sz w:val="32"/>
          <w:szCs w:val="32"/>
          <w:lang w:val="en-US" w:eastAsia="zh-CN"/>
        </w:rPr>
        <w:t>磋商</w:t>
      </w:r>
      <w:r>
        <w:rPr>
          <w:rFonts w:hint="eastAsia" w:ascii="方正仿宋_GBK" w:hAnsi="方正仿宋_GBK" w:eastAsia="方正仿宋_GBK" w:cs="方正仿宋_GBK"/>
          <w:color w:val="auto"/>
          <w:sz w:val="32"/>
          <w:szCs w:val="32"/>
        </w:rPr>
        <w:t>都不符合</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文件要求的，可以否决所有</w:t>
      </w:r>
      <w:r>
        <w:rPr>
          <w:rFonts w:hint="eastAsia" w:ascii="方正仿宋_GBK" w:hAnsi="方正仿宋_GBK" w:eastAsia="方正仿宋_GBK" w:cs="方正仿宋_GBK"/>
          <w:color w:val="auto"/>
          <w:sz w:val="32"/>
          <w:szCs w:val="32"/>
          <w:lang w:val="en-US" w:eastAsia="zh-CN"/>
        </w:rPr>
        <w:t>磋商</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rPr>
        <w:t>3.2.</w:t>
      </w: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eastAsia="zh-CN"/>
        </w:rPr>
        <w:t>采购人</w:t>
      </w:r>
      <w:r>
        <w:rPr>
          <w:rFonts w:hint="eastAsia" w:ascii="方正仿宋_GBK" w:hAnsi="方正仿宋_GBK" w:eastAsia="方正仿宋_GBK" w:cs="方正仿宋_GBK"/>
          <w:color w:val="auto"/>
          <w:sz w:val="32"/>
          <w:szCs w:val="32"/>
        </w:rPr>
        <w:t>有权在授标之前任何时候接受或拒绝任何</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，以及宣布</w:t>
      </w:r>
      <w:r>
        <w:rPr>
          <w:rFonts w:hint="eastAsia" w:ascii="方正仿宋_GBK" w:hAnsi="方正仿宋_GBK" w:eastAsia="方正仿宋_GBK" w:cs="方正仿宋_GBK"/>
          <w:color w:val="auto"/>
          <w:sz w:val="32"/>
          <w:szCs w:val="32"/>
          <w:lang w:val="en-US" w:eastAsia="zh-CN"/>
        </w:rPr>
        <w:t>采购</w:t>
      </w:r>
      <w:r>
        <w:rPr>
          <w:rFonts w:hint="eastAsia" w:ascii="方正仿宋_GBK" w:hAnsi="方正仿宋_GBK" w:eastAsia="方正仿宋_GBK" w:cs="方正仿宋_GBK"/>
          <w:color w:val="auto"/>
          <w:sz w:val="32"/>
          <w:szCs w:val="32"/>
        </w:rPr>
        <w:t>程序无效，对受影响的</w:t>
      </w:r>
      <w:r>
        <w:rPr>
          <w:rFonts w:hint="eastAsia" w:ascii="方正仿宋_GBK" w:hAnsi="方正仿宋_GBK" w:eastAsia="方正仿宋_GBK" w:cs="方正仿宋_GBK"/>
          <w:color w:val="auto"/>
          <w:sz w:val="32"/>
          <w:szCs w:val="32"/>
          <w:lang w:eastAsia="zh-CN"/>
        </w:rPr>
        <w:t>磋商</w:t>
      </w:r>
      <w:r>
        <w:rPr>
          <w:rFonts w:hint="eastAsia" w:ascii="方正仿宋_GBK" w:hAnsi="方正仿宋_GBK" w:eastAsia="方正仿宋_GBK" w:cs="方正仿宋_GBK"/>
          <w:color w:val="auto"/>
          <w:sz w:val="32"/>
          <w:szCs w:val="32"/>
        </w:rPr>
        <w:t>不承担任何责任，也无义务向受影响的</w:t>
      </w: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解释采取这一行动的理由。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0"/>
        <w:rPr>
          <w:rFonts w:ascii="方正黑体简体" w:hAnsi="方正黑体简体" w:eastAsia="方正黑体_GBK" w:cs="方正黑体简体"/>
          <w:color w:val="auto"/>
          <w:sz w:val="44"/>
          <w:szCs w:val="44"/>
        </w:rPr>
      </w:pPr>
      <w:r>
        <w:rPr>
          <w:rFonts w:hint="eastAsia" w:ascii="方正仿宋_GBK" w:hAnsi="方正仿宋_GBK" w:eastAsia="方正仿宋_GBK" w:cs="方正仿宋_GBK"/>
          <w:color w:val="0000FF"/>
          <w:sz w:val="32"/>
          <w:szCs w:val="32"/>
        </w:rPr>
        <w:br w:type="page"/>
      </w:r>
      <w:bookmarkStart w:id="199" w:name="_Toc3126"/>
      <w:bookmarkStart w:id="200" w:name="_Toc18297"/>
      <w:bookmarkStart w:id="201" w:name="_Toc27286"/>
      <w:bookmarkStart w:id="202" w:name="_Toc10679"/>
      <w:bookmarkStart w:id="203" w:name="_Toc23369"/>
      <w:bookmarkStart w:id="204" w:name="_Toc870"/>
      <w:bookmarkStart w:id="205" w:name="_Toc22153"/>
      <w:bookmarkStart w:id="206" w:name="_Toc25779"/>
      <w:bookmarkStart w:id="207" w:name="_Toc7639"/>
      <w:bookmarkStart w:id="208" w:name="_Toc12175"/>
      <w:bookmarkStart w:id="209" w:name="_Toc14523"/>
      <w:bookmarkStart w:id="210" w:name="_Toc11150"/>
      <w:bookmarkStart w:id="211" w:name="_Toc23362"/>
      <w:bookmarkStart w:id="212" w:name="_Toc21243"/>
      <w:bookmarkStart w:id="213" w:name="_Toc30387"/>
      <w:bookmarkStart w:id="214" w:name="_Toc296"/>
      <w:bookmarkStart w:id="215" w:name="_Toc26745"/>
      <w:r>
        <w:rPr>
          <w:rFonts w:hint="eastAsia" w:ascii="方正黑体简体" w:hAnsi="方正黑体简体" w:eastAsia="方正黑体简体" w:cs="方正黑体简体"/>
          <w:color w:val="auto"/>
          <w:sz w:val="44"/>
          <w:szCs w:val="44"/>
          <w:lang w:bidi="ar"/>
        </w:rPr>
        <w:t>第三部分</w:t>
      </w:r>
      <w:r>
        <w:rPr>
          <w:rFonts w:hint="eastAsia" w:ascii="方正黑体简体" w:hAnsi="方正黑体简体" w:eastAsia="方正黑体简体" w:cs="方正黑体简体"/>
          <w:color w:val="auto"/>
          <w:sz w:val="44"/>
          <w:szCs w:val="44"/>
          <w:lang w:val="en-US" w:eastAsia="zh-CN" w:bidi="ar"/>
        </w:rPr>
        <w:t xml:space="preserve"> </w:t>
      </w:r>
      <w:r>
        <w:rPr>
          <w:rFonts w:hint="eastAsia" w:ascii="方正黑体简体" w:hAnsi="方正黑体简体" w:eastAsia="方正黑体简体" w:cs="方正黑体简体"/>
          <w:color w:val="auto"/>
          <w:sz w:val="44"/>
          <w:szCs w:val="44"/>
          <w:lang w:bidi="ar"/>
        </w:rPr>
        <w:t>项目需求书</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4"/>
        <w:keepNext w:val="0"/>
        <w:keepLines w:val="0"/>
        <w:pageBreakBefore w:val="0"/>
        <w:widowControl w:val="0"/>
        <w:numPr>
          <w:ilvl w:val="0"/>
          <w:numId w:val="0"/>
        </w:numPr>
        <w:tabs>
          <w:tab w:val="left" w:pos="420"/>
          <w:tab w:val="clear" w:pos="851"/>
        </w:tabs>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rPr>
          <w:rFonts w:hint="eastAsia" w:ascii="方正仿宋_GBK" w:hAnsi="方正仿宋_GBK" w:eastAsia="方正仿宋_GBK" w:cs="方正仿宋_GBK"/>
          <w:b/>
          <w:color w:val="auto"/>
          <w:lang w:val="en-US" w:eastAsia="zh-Hans"/>
        </w:rPr>
      </w:pPr>
      <w:bookmarkStart w:id="216" w:name="_Toc31189"/>
      <w:r>
        <w:rPr>
          <w:rFonts w:hint="eastAsia" w:ascii="方正仿宋_GBK" w:hAnsi="方正仿宋_GBK" w:eastAsia="方正仿宋_GBK" w:cs="方正仿宋_GBK"/>
          <w:b/>
          <w:color w:val="auto"/>
        </w:rPr>
        <w:t>1</w:t>
      </w:r>
      <w:r>
        <w:rPr>
          <w:rFonts w:hint="eastAsia" w:ascii="方正仿宋_GBK" w:hAnsi="方正仿宋_GBK" w:eastAsia="方正仿宋_GBK" w:cs="方正仿宋_GBK"/>
          <w:b/>
          <w:color w:val="auto"/>
          <w:lang w:val="en-US" w:eastAsia="zh-CN"/>
        </w:rPr>
        <w:t>投保范围</w:t>
      </w:r>
      <w:bookmarkEnd w:id="216"/>
    </w:p>
    <w:p>
      <w:pPr>
        <w:keepNext w:val="0"/>
        <w:keepLines w:val="0"/>
        <w:pageBreakBefore w:val="0"/>
        <w:widowControl w:val="0"/>
        <w:kinsoku/>
        <w:wordWrap/>
        <w:overflowPunct/>
        <w:topLinePunct w:val="0"/>
        <w:autoSpaceDE/>
        <w:autoSpaceDN/>
        <w:bidi w:val="0"/>
        <w:adjustRightInd/>
        <w:snapToGrid/>
        <w:ind w:left="0" w:leftChars="0" w:right="0" w:rightChars="0"/>
        <w:jc w:val="both"/>
        <w:textAlignment w:val="auto"/>
        <w:rPr>
          <w:rFonts w:hint="eastAsia" w:ascii="方正仿宋_GBK" w:hAnsi="方正仿宋_GBK" w:eastAsia="方正仿宋_GBK" w:cs="方正仿宋_GBK"/>
          <w:color w:val="auto"/>
          <w:sz w:val="32"/>
          <w:szCs w:val="32"/>
          <w:lang w:val="en-US" w:eastAsia="zh-CN"/>
        </w:rPr>
      </w:pPr>
      <w:bookmarkStart w:id="217" w:name="_Toc17617"/>
      <w:bookmarkStart w:id="218" w:name="_Toc6591"/>
      <w:bookmarkStart w:id="219" w:name="_Toc19582"/>
      <w:bookmarkStart w:id="220" w:name="_Toc28874"/>
      <w:bookmarkStart w:id="221" w:name="_Toc29230"/>
      <w:bookmarkStart w:id="222" w:name="_Toc16775"/>
      <w:bookmarkStart w:id="223" w:name="_Toc16346"/>
      <w:bookmarkStart w:id="224" w:name="_Toc20493"/>
      <w:bookmarkStart w:id="225" w:name="_Toc19931"/>
      <w:bookmarkStart w:id="226" w:name="_Toc722"/>
      <w:bookmarkStart w:id="227" w:name="_Toc8101"/>
      <w:bookmarkStart w:id="228" w:name="_Toc6839"/>
      <w:bookmarkStart w:id="229" w:name="_Toc4636"/>
      <w:bookmarkStart w:id="230" w:name="_Toc23989"/>
      <w:bookmarkStart w:id="231" w:name="_Toc28976"/>
      <w:bookmarkStart w:id="232" w:name="_Toc10184"/>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highlight w:val="none"/>
          <w:lang w:val="en-US" w:eastAsia="zh-CN"/>
        </w:rPr>
        <w:t>截至目前公司参加了国家规定的基本医疗保险的员工，人数为28人</w:t>
      </w:r>
      <w:r>
        <w:rPr>
          <w:rFonts w:hint="eastAsia" w:ascii="方正仿宋_GBK" w:hAnsi="方正仿宋_GBK" w:eastAsia="方正仿宋_GBK" w:cs="方正仿宋_GBK"/>
          <w:color w:val="auto"/>
          <w:sz w:val="32"/>
          <w:szCs w:val="32"/>
          <w:lang w:val="en-US" w:eastAsia="zh-CN"/>
        </w:rPr>
        <w:t>，性别及年龄测算详见附件。具体人数以合同签订为准。</w:t>
      </w:r>
    </w:p>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Pr>
        <w:pStyle w:val="4"/>
        <w:keepNext w:val="0"/>
        <w:keepLines w:val="0"/>
        <w:pageBreakBefore w:val="0"/>
        <w:widowControl w:val="0"/>
        <w:numPr>
          <w:ilvl w:val="0"/>
          <w:numId w:val="0"/>
        </w:numPr>
        <w:tabs>
          <w:tab w:val="left" w:pos="420"/>
          <w:tab w:val="clear" w:pos="851"/>
        </w:tabs>
        <w:kinsoku/>
        <w:wordWrap/>
        <w:overflowPunct/>
        <w:topLinePunct w:val="0"/>
        <w:autoSpaceDE/>
        <w:autoSpaceDN/>
        <w:bidi w:val="0"/>
        <w:adjustRightInd/>
        <w:snapToGrid/>
        <w:spacing w:before="0" w:beforeLines="0" w:after="0" w:afterLines="0" w:line="600" w:lineRule="exact"/>
        <w:ind w:left="0" w:leftChars="0" w:right="0" w:rightChars="0"/>
        <w:jc w:val="both"/>
        <w:textAlignment w:val="auto"/>
        <w:rPr>
          <w:rFonts w:hint="eastAsia" w:ascii="方正仿宋_GBK" w:hAnsi="方正仿宋_GBK" w:eastAsia="方正仿宋_GBK" w:cs="方正仿宋_GBK"/>
          <w:b/>
          <w:color w:val="auto"/>
          <w:lang w:val="en-US" w:eastAsia="zh-CN"/>
        </w:rPr>
      </w:pPr>
      <w:bookmarkStart w:id="233" w:name="_Toc25002"/>
      <w:bookmarkStart w:id="234" w:name="_Toc20116"/>
      <w:bookmarkStart w:id="235" w:name="_Toc13700"/>
      <w:r>
        <w:rPr>
          <w:rFonts w:hint="eastAsia" w:ascii="方正仿宋_GBK" w:hAnsi="方正仿宋_GBK" w:eastAsia="方正仿宋_GBK" w:cs="方正仿宋_GBK"/>
          <w:b/>
          <w:color w:val="auto"/>
          <w:lang w:val="en-US" w:eastAsia="zh-CN"/>
        </w:rPr>
        <w:t>2服务范围</w:t>
      </w:r>
      <w:bookmarkEnd w:id="233"/>
      <w:bookmarkEnd w:id="234"/>
      <w:bookmarkEnd w:id="235"/>
    </w:p>
    <w:tbl>
      <w:tblPr>
        <w:tblStyle w:val="23"/>
        <w:tblpPr w:leftFromText="180" w:rightFromText="180" w:vertAnchor="text" w:horzAnchor="page" w:tblpX="701" w:tblpY="296"/>
        <w:tblOverlap w:val="never"/>
        <w:tblW w:w="107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2187"/>
        <w:gridCol w:w="2625"/>
        <w:gridCol w:w="58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bookmarkStart w:id="236" w:name="_Toc21230"/>
            <w:bookmarkStart w:id="237" w:name="_Toc1764"/>
            <w:bookmarkStart w:id="238" w:name="_Toc12720"/>
            <w:bookmarkStart w:id="239" w:name="_Toc5682"/>
            <w:bookmarkStart w:id="240" w:name="_Toc13454"/>
            <w:bookmarkStart w:id="241" w:name="_Toc29785"/>
            <w:bookmarkStart w:id="242" w:name="_Toc9800"/>
            <w:bookmarkStart w:id="243" w:name="_Toc20773"/>
            <w:bookmarkStart w:id="244" w:name="_Toc3060"/>
            <w:bookmarkStart w:id="245" w:name="_Toc6970"/>
            <w:r>
              <w:rPr>
                <w:rFonts w:hint="eastAsia" w:ascii="方正仿宋_GBK" w:hAnsi="方正仿宋_GBK" w:eastAsia="方正仿宋_GBK" w:cs="方正仿宋_GBK"/>
                <w:sz w:val="32"/>
                <w:szCs w:val="32"/>
                <w:lang w:val="en-US" w:eastAsia="zh-CN"/>
              </w:rPr>
              <w:t>保险服务项目</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保险额度</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住院责任</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不低于5000元</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免赔额0后赔付比例不低于80%，保险符合《重庆市国有资产监督管理委员会关于规范管理企业补充医疗保险的通知》（渝国资〔2017〕603号）文件规定。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门诊责任</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不低于5000元</w:t>
            </w:r>
          </w:p>
        </w:tc>
        <w:tc>
          <w:tcPr>
            <w:tcW w:w="5888" w:type="dxa"/>
            <w:shd w:val="clear" w:color="auto" w:fill="auto"/>
            <w:vAlign w:val="center"/>
          </w:tcPr>
          <w:p>
            <w:pPr>
              <w:jc w:val="left"/>
              <w:rPr>
                <w:rFonts w:hint="eastAsia" w:ascii="方正仿宋_GBK" w:hAnsi="方正仿宋_GBK" w:eastAsia="方正仿宋_GBK" w:cs="方正仿宋_GBK"/>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住院津贴</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不低于200元/天</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疾病住院、意外伤害住院无免赔期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大额医疗</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不低于100万</w:t>
            </w:r>
          </w:p>
        </w:tc>
        <w:tc>
          <w:tcPr>
            <w:tcW w:w="588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因意外或疾病导致在医院治疗期间发生的合理且必要的住院医疗费用，年免赔1万元，社保目录内外按100%给付。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特需医疗金</w:t>
            </w:r>
          </w:p>
        </w:tc>
        <w:tc>
          <w:tcPr>
            <w:tcW w:w="8513" w:type="dxa"/>
            <w:gridSpan w:val="2"/>
            <w:tcBorders>
              <w:top w:val="single" w:color="auto" w:sz="4" w:space="0"/>
              <w:left w:val="single" w:color="auto" w:sz="4" w:space="0"/>
              <w:bottom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管理费限价不超过1.8%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保险费用</w:t>
            </w:r>
          </w:p>
        </w:tc>
        <w:tc>
          <w:tcPr>
            <w:tcW w:w="8513" w:type="dxa"/>
            <w:gridSpan w:val="2"/>
            <w:tcBorders>
              <w:top w:val="single" w:color="auto" w:sz="4" w:space="0"/>
              <w:left w:val="single" w:color="auto" w:sz="4" w:space="0"/>
              <w:bottom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限价不超过2500元/人/年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21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备注</w:t>
            </w:r>
          </w:p>
        </w:tc>
        <w:tc>
          <w:tcPr>
            <w:tcW w:w="8513" w:type="dxa"/>
            <w:gridSpan w:val="2"/>
            <w:tcBorders>
              <w:top w:val="single" w:color="auto" w:sz="4" w:space="0"/>
              <w:left w:val="single" w:color="auto" w:sz="4" w:space="0"/>
              <w:bottom w:val="single" w:color="auto" w:sz="4" w:space="0"/>
            </w:tcBorders>
            <w:shd w:val="clear" w:color="auto" w:fill="auto"/>
            <w:vAlign w:val="center"/>
          </w:tcPr>
          <w:p>
            <w:pPr>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保险公司可根据公司情况提供最优方案</w:t>
            </w:r>
          </w:p>
        </w:tc>
      </w:tr>
    </w:tbl>
    <w:p>
      <w:pPr>
        <w:pStyle w:val="3"/>
        <w:spacing w:before="0" w:beforeLines="0" w:after="0" w:afterLines="0" w:line="600" w:lineRule="exact"/>
        <w:jc w:val="both"/>
        <w:rPr>
          <w:rFonts w:hint="eastAsia" w:ascii="方正黑体简体" w:hAnsi="方正黑体简体" w:eastAsia="方正黑体简体" w:cs="方正黑体简体"/>
          <w:bCs w:val="0"/>
          <w:color w:val="auto"/>
          <w:sz w:val="44"/>
        </w:rPr>
        <w:sectPr>
          <w:footerReference r:id="rId6" w:type="default"/>
          <w:pgSz w:w="11906" w:h="16838"/>
          <w:pgMar w:top="1440" w:right="1740" w:bottom="1440" w:left="1797" w:header="964" w:footer="992" w:gutter="0"/>
          <w:pgBorders>
            <w:top w:val="none" w:color="auto" w:sz="0" w:space="0"/>
            <w:left w:val="none" w:color="auto" w:sz="0" w:space="0"/>
            <w:bottom w:val="none" w:color="auto" w:sz="0" w:space="0"/>
            <w:right w:val="none" w:color="auto" w:sz="0" w:space="0"/>
          </w:pgBorders>
          <w:pgNumType w:fmt="decimal" w:start="1"/>
          <w:cols w:space="720" w:num="1"/>
          <w:docGrid w:type="lines" w:linePitch="312" w:charSpace="0"/>
        </w:sectPr>
      </w:pPr>
      <w:bookmarkStart w:id="246" w:name="_Toc27973"/>
      <w:bookmarkStart w:id="247" w:name="_Toc10874"/>
      <w:bookmarkStart w:id="248" w:name="_Toc11608"/>
      <w:bookmarkStart w:id="249" w:name="_Toc3469"/>
      <w:bookmarkStart w:id="250" w:name="_Toc28230"/>
      <w:bookmarkStart w:id="251" w:name="_Toc31251"/>
      <w:bookmarkStart w:id="252" w:name="_Toc4519"/>
      <w:bookmarkStart w:id="253" w:name="_Toc22077"/>
      <w:bookmarkStart w:id="254" w:name="_Toc5657"/>
    </w:p>
    <w:p>
      <w:pPr>
        <w:pStyle w:val="3"/>
        <w:spacing w:before="0" w:beforeLines="0" w:after="0" w:afterLines="0" w:line="600" w:lineRule="exact"/>
        <w:jc w:val="center"/>
        <w:rPr>
          <w:rFonts w:ascii="宋体" w:hAnsi="宋体" w:eastAsia="宋体"/>
          <w:color w:val="auto"/>
          <w:sz w:val="28"/>
          <w:szCs w:val="32"/>
        </w:rPr>
      </w:pPr>
      <w:bookmarkStart w:id="255" w:name="_Toc1423"/>
      <w:r>
        <w:rPr>
          <w:rFonts w:hint="eastAsia" w:ascii="方正黑体简体" w:hAnsi="方正黑体简体" w:eastAsia="方正黑体简体" w:cs="方正黑体简体"/>
          <w:bCs w:val="0"/>
          <w:color w:val="auto"/>
          <w:sz w:val="44"/>
        </w:rPr>
        <w:t>第四部分</w:t>
      </w:r>
      <w:r>
        <w:rPr>
          <w:rFonts w:hint="eastAsia" w:ascii="方正黑体简体" w:hAnsi="方正黑体简体" w:eastAsia="方正黑体简体" w:cs="方正黑体简体"/>
          <w:bCs w:val="0"/>
          <w:color w:val="auto"/>
          <w:sz w:val="44"/>
          <w:lang w:val="en-US" w:eastAsia="zh-CN"/>
        </w:rPr>
        <w:t xml:space="preserve"> </w:t>
      </w:r>
      <w:r>
        <w:rPr>
          <w:rFonts w:hint="eastAsia" w:ascii="方正黑体简体" w:hAnsi="方正黑体简体" w:eastAsia="方正黑体简体" w:cs="方正黑体简体"/>
          <w:bCs w:val="0"/>
          <w:color w:val="auto"/>
          <w:sz w:val="44"/>
          <w:lang w:eastAsia="zh-CN"/>
        </w:rPr>
        <w:t>响应文件</w:t>
      </w:r>
      <w:r>
        <w:rPr>
          <w:rFonts w:hint="eastAsia" w:ascii="方正黑体简体" w:hAnsi="方正黑体简体" w:eastAsia="方正黑体简体" w:cs="方正黑体简体"/>
          <w:bCs w:val="0"/>
          <w:color w:val="auto"/>
          <w:sz w:val="44"/>
        </w:rPr>
        <w:t>格式</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spacing w:line="600" w:lineRule="exact"/>
        <w:ind w:firstLine="640" w:firstLineChars="200"/>
        <w:rPr>
          <w:rFonts w:hint="eastAsia" w:ascii="方正仿宋_GBK" w:hAnsi="方正仿宋_GBK" w:eastAsia="方正仿宋_GBK" w:cs="方正仿宋_GBK"/>
          <w:color w:val="auto"/>
          <w:sz w:val="32"/>
          <w:szCs w:val="32"/>
          <w:lang w:eastAsia="zh-CN"/>
        </w:rPr>
      </w:pPr>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响应文件</w:t>
      </w:r>
      <w:r>
        <w:rPr>
          <w:rFonts w:hint="eastAsia" w:ascii="方正仿宋_GBK" w:hAnsi="方正仿宋_GBK" w:eastAsia="方正仿宋_GBK" w:cs="方正仿宋_GBK"/>
          <w:color w:val="auto"/>
          <w:sz w:val="32"/>
          <w:szCs w:val="32"/>
        </w:rPr>
        <w:t>请按如下顺序装订：</w:t>
      </w:r>
    </w:p>
    <w:p>
      <w:pPr>
        <w:spacing w:line="600" w:lineRule="exact"/>
        <w:ind w:firstLine="643" w:firstLineChars="200"/>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1.评分索引</w:t>
      </w:r>
    </w:p>
    <w:p>
      <w:pPr>
        <w:spacing w:line="600" w:lineRule="exact"/>
        <w:ind w:firstLine="643" w:firstLineChars="200"/>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2.报价一览表</w:t>
      </w:r>
    </w:p>
    <w:p>
      <w:pPr>
        <w:spacing w:line="600" w:lineRule="exact"/>
        <w:ind w:firstLine="643" w:firstLineChars="200"/>
        <w:rPr>
          <w:rFonts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3.法人代表授权书</w:t>
      </w:r>
    </w:p>
    <w:p>
      <w:pPr>
        <w:spacing w:line="60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4.资质证明文件：</w:t>
      </w:r>
      <w:r>
        <w:rPr>
          <w:rFonts w:hint="eastAsia" w:ascii="方正仿宋_GBK" w:hAnsi="方正仿宋_GBK" w:eastAsia="方正仿宋_GBK" w:cs="方正仿宋_GBK"/>
          <w:color w:val="auto"/>
          <w:sz w:val="32"/>
          <w:szCs w:val="32"/>
        </w:rPr>
        <w:t>营业执照、</w:t>
      </w:r>
      <w:r>
        <w:rPr>
          <w:rFonts w:hint="eastAsia" w:ascii="方正仿宋_GBK" w:hAnsi="方正仿宋_GBK" w:eastAsia="方正仿宋_GBK" w:cs="方正仿宋_GBK"/>
          <w:color w:val="auto"/>
          <w:sz w:val="32"/>
          <w:szCs w:val="32"/>
          <w:lang w:bidi="ar"/>
        </w:rPr>
        <w:t>中华人民共和国经营保险业务许可证</w:t>
      </w:r>
      <w:r>
        <w:rPr>
          <w:rFonts w:hint="eastAsia" w:ascii="方正仿宋_GBK" w:hAnsi="方正仿宋_GBK" w:eastAsia="方正仿宋_GBK" w:cs="方正仿宋_GBK"/>
          <w:color w:val="auto"/>
          <w:sz w:val="32"/>
          <w:szCs w:val="32"/>
          <w:lang w:eastAsia="zh-CN" w:bidi="ar"/>
        </w:rPr>
        <w:t>、响应人</w:t>
      </w:r>
      <w:r>
        <w:rPr>
          <w:rFonts w:hint="eastAsia" w:ascii="方正仿宋_GBK" w:hAnsi="方正仿宋_GBK" w:eastAsia="方正仿宋_GBK" w:cs="方正仿宋_GBK"/>
          <w:color w:val="auto"/>
          <w:sz w:val="32"/>
          <w:szCs w:val="32"/>
          <w:lang w:bidi="ar"/>
        </w:rPr>
        <w:t>声明书</w:t>
      </w:r>
      <w:r>
        <w:rPr>
          <w:rFonts w:hint="eastAsia" w:ascii="方正仿宋_GBK" w:hAnsi="方正仿宋_GBK" w:eastAsia="方正仿宋_GBK" w:cs="方正仿宋_GBK"/>
          <w:color w:val="auto"/>
          <w:sz w:val="32"/>
          <w:szCs w:val="32"/>
          <w:lang w:eastAsia="zh-CN" w:bidi="ar"/>
        </w:rPr>
        <w:t>、</w:t>
      </w:r>
      <w:r>
        <w:rPr>
          <w:rFonts w:hint="eastAsia" w:ascii="方正仿宋_GBK" w:hAnsi="方正仿宋_GBK" w:eastAsia="方正仿宋_GBK" w:cs="方正仿宋_GBK"/>
          <w:color w:val="auto"/>
          <w:sz w:val="32"/>
          <w:szCs w:val="32"/>
          <w:lang w:bidi="ar"/>
        </w:rPr>
        <w:t>商业信誉声明书以及其他所有本</w:t>
      </w:r>
      <w:r>
        <w:rPr>
          <w:rFonts w:hint="eastAsia" w:ascii="方正仿宋_GBK" w:hAnsi="方正仿宋_GBK" w:eastAsia="方正仿宋_GBK" w:cs="方正仿宋_GBK"/>
          <w:color w:val="auto"/>
          <w:sz w:val="32"/>
          <w:szCs w:val="32"/>
          <w:lang w:val="en-US" w:eastAsia="zh-CN" w:bidi="ar"/>
        </w:rPr>
        <w:t>磋商文件</w:t>
      </w:r>
      <w:r>
        <w:rPr>
          <w:rFonts w:hint="eastAsia" w:ascii="方正仿宋_GBK" w:hAnsi="方正仿宋_GBK" w:eastAsia="方正仿宋_GBK" w:cs="方正仿宋_GBK"/>
          <w:color w:val="auto"/>
          <w:sz w:val="32"/>
          <w:szCs w:val="32"/>
          <w:lang w:bidi="ar"/>
        </w:rPr>
        <w:t>要求的资质证明文件。（未规定模板的</w:t>
      </w:r>
      <w:r>
        <w:rPr>
          <w:rFonts w:hint="eastAsia" w:ascii="方正仿宋_GBK" w:hAnsi="方正仿宋_GBK" w:eastAsia="方正仿宋_GBK" w:cs="方正仿宋_GBK"/>
          <w:color w:val="auto"/>
          <w:sz w:val="32"/>
          <w:szCs w:val="32"/>
        </w:rPr>
        <w:t>资质或者证明文件请自行拟定）</w:t>
      </w:r>
    </w:p>
    <w:p>
      <w:pPr>
        <w:spacing w:line="600" w:lineRule="exact"/>
        <w:ind w:firstLine="643"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5.</w:t>
      </w:r>
      <w:r>
        <w:rPr>
          <w:rFonts w:hint="eastAsia" w:ascii="方正仿宋_GBK" w:hAnsi="方正仿宋_GBK" w:eastAsia="方正仿宋_GBK" w:cs="方正仿宋_GBK"/>
          <w:b/>
          <w:color w:val="auto"/>
          <w:sz w:val="32"/>
          <w:szCs w:val="32"/>
        </w:rPr>
        <w:t>方案书</w:t>
      </w:r>
    </w:p>
    <w:p>
      <w:pPr>
        <w:spacing w:line="600" w:lineRule="exact"/>
        <w:ind w:firstLine="640" w:firstLineChars="200"/>
        <w:rPr>
          <w:rFonts w:ascii="方正仿宋_GBK" w:hAnsi="方正仿宋_GBK" w:eastAsia="方正仿宋_GBK" w:cs="方正仿宋_GBK"/>
          <w:bCs/>
          <w:color w:val="auto"/>
          <w:sz w:val="32"/>
          <w:szCs w:val="32"/>
        </w:rPr>
      </w:pPr>
      <w:r>
        <w:rPr>
          <w:rFonts w:hint="eastAsia" w:ascii="方正仿宋_GBK" w:hAnsi="方正仿宋_GBK" w:eastAsia="方正仿宋_GBK" w:cs="方正仿宋_GBK"/>
          <w:b/>
          <w:bCs/>
          <w:color w:val="auto"/>
          <w:sz w:val="32"/>
          <w:szCs w:val="32"/>
        </w:rPr>
        <w:t>6.</w:t>
      </w:r>
      <w:r>
        <w:rPr>
          <w:rFonts w:hint="eastAsia" w:ascii="方正仿宋_GBK" w:hAnsi="方正仿宋_GBK" w:eastAsia="方正仿宋_GBK" w:cs="方正仿宋_GBK"/>
          <w:b/>
          <w:bCs/>
          <w:color w:val="auto"/>
          <w:sz w:val="32"/>
          <w:szCs w:val="32"/>
          <w:lang w:val="en-US" w:eastAsia="zh-CN"/>
        </w:rPr>
        <w:t>技术文件</w:t>
      </w:r>
    </w:p>
    <w:p>
      <w:pPr>
        <w:spacing w:line="600" w:lineRule="exact"/>
        <w:ind w:firstLine="640" w:firstLineChars="200"/>
        <w:rPr>
          <w:rFonts w:ascii="方正仿宋_GBK" w:hAnsi="方正仿宋_GBK" w:eastAsia="方正仿宋_GBK" w:cs="方正仿宋_GBK"/>
          <w:b/>
          <w:color w:val="auto"/>
          <w:sz w:val="32"/>
          <w:szCs w:val="32"/>
        </w:rPr>
      </w:pPr>
      <w:r>
        <w:rPr>
          <w:rFonts w:hint="eastAsia" w:ascii="方正仿宋_GBK" w:hAnsi="方正仿宋_GBK" w:eastAsia="方正仿宋_GBK" w:cs="方正仿宋_GBK"/>
          <w:b/>
          <w:bCs w:val="0"/>
          <w:color w:val="auto"/>
          <w:sz w:val="32"/>
          <w:szCs w:val="32"/>
        </w:rPr>
        <w:t>7.</w:t>
      </w:r>
      <w:r>
        <w:rPr>
          <w:rFonts w:hint="eastAsia" w:ascii="方正仿宋_GBK" w:hAnsi="方正仿宋_GBK" w:eastAsia="方正仿宋_GBK" w:cs="方正仿宋_GBK"/>
          <w:b/>
          <w:bCs w:val="0"/>
          <w:color w:val="auto"/>
          <w:sz w:val="32"/>
          <w:szCs w:val="32"/>
          <w:lang w:val="en-US" w:eastAsia="zh-CN"/>
        </w:rPr>
        <w:t>商务文件</w:t>
      </w: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29"/>
        <w:rPr>
          <w:color w:val="0000FF"/>
        </w:rPr>
      </w:pPr>
    </w:p>
    <w:p>
      <w:pPr>
        <w:pStyle w:val="4"/>
        <w:numPr>
          <w:ilvl w:val="0"/>
          <w:numId w:val="0"/>
        </w:numPr>
        <w:tabs>
          <w:tab w:val="left" w:pos="420"/>
          <w:tab w:val="clear" w:pos="851"/>
        </w:tabs>
        <w:spacing w:line="600" w:lineRule="exact"/>
        <w:jc w:val="left"/>
        <w:rPr>
          <w:rFonts w:hint="eastAsia" w:ascii="方正仿宋_GBK" w:hAnsi="方正仿宋_GBK" w:eastAsia="方正仿宋_GBK" w:cs="方正仿宋_GBK"/>
          <w:b/>
          <w:bCs w:val="0"/>
          <w:color w:val="auto"/>
        </w:rPr>
      </w:pPr>
      <w:bookmarkStart w:id="256" w:name="_Toc23406"/>
      <w:bookmarkStart w:id="257" w:name="_Toc4395"/>
      <w:bookmarkStart w:id="258" w:name="_Toc12578"/>
      <w:bookmarkStart w:id="259" w:name="_Toc17655"/>
      <w:bookmarkStart w:id="260" w:name="_Toc20993"/>
      <w:bookmarkStart w:id="261" w:name="_Toc27991"/>
      <w:bookmarkStart w:id="262" w:name="_Toc19625"/>
      <w:bookmarkStart w:id="263" w:name="_Toc25892"/>
      <w:bookmarkStart w:id="264" w:name="_Toc20942"/>
      <w:bookmarkStart w:id="265" w:name="_Toc10164"/>
      <w:bookmarkStart w:id="266" w:name="_Toc4598"/>
      <w:bookmarkStart w:id="267" w:name="_Toc29658"/>
      <w:bookmarkStart w:id="268" w:name="_Toc21111"/>
      <w:bookmarkStart w:id="269" w:name="_Toc21652"/>
      <w:bookmarkStart w:id="270" w:name="_Toc4608"/>
      <w:bookmarkStart w:id="271" w:name="_Toc26732"/>
      <w:bookmarkStart w:id="272" w:name="_Toc1203"/>
      <w:bookmarkStart w:id="273" w:name="_Toc22040"/>
      <w:bookmarkStart w:id="274" w:name="_Toc13660"/>
      <w:r>
        <w:rPr>
          <w:rFonts w:hint="eastAsia" w:ascii="方正仿宋_GBK" w:hAnsi="方正仿宋_GBK" w:eastAsia="方正仿宋_GBK" w:cs="方正仿宋_GBK"/>
          <w:b/>
          <w:bCs w:val="0"/>
          <w:color w:val="auto"/>
        </w:rPr>
        <w:t>1评分索引</w:t>
      </w:r>
      <w:bookmarkEnd w:id="256"/>
      <w:bookmarkEnd w:id="257"/>
      <w:bookmarkEnd w:id="258"/>
      <w:bookmarkEnd w:id="259"/>
      <w:bookmarkEnd w:id="260"/>
      <w:bookmarkEnd w:id="261"/>
    </w:p>
    <w:p>
      <w:pPr>
        <w:rPr>
          <w:rFonts w:hint="eastAsia"/>
          <w:color w:val="0000FF"/>
        </w:rPr>
      </w:pPr>
    </w:p>
    <w:tbl>
      <w:tblPr>
        <w:tblStyle w:val="23"/>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746"/>
        <w:gridCol w:w="768"/>
        <w:gridCol w:w="468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blHeader/>
        </w:trPr>
        <w:tc>
          <w:tcPr>
            <w:tcW w:w="1598" w:type="dxa"/>
            <w:tcBorders>
              <w:top w:val="double" w:color="auto" w:sz="4" w:space="0"/>
              <w:left w:val="doub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项目</w:t>
            </w:r>
          </w:p>
        </w:tc>
        <w:tc>
          <w:tcPr>
            <w:tcW w:w="746" w:type="dxa"/>
            <w:tcBorders>
              <w:top w:val="double" w:color="auto" w:sz="4" w:space="0"/>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评分项</w:t>
            </w:r>
          </w:p>
        </w:tc>
        <w:tc>
          <w:tcPr>
            <w:tcW w:w="768" w:type="dxa"/>
            <w:tcBorders>
              <w:top w:val="double" w:color="auto" w:sz="4" w:space="0"/>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最高分值</w:t>
            </w:r>
          </w:p>
        </w:tc>
        <w:tc>
          <w:tcPr>
            <w:tcW w:w="4683" w:type="dxa"/>
            <w:tcBorders>
              <w:top w:val="double" w:color="auto" w:sz="4" w:space="0"/>
              <w:left w:val="single" w:color="auto" w:sz="4" w:space="0"/>
              <w:right w:val="doub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备注</w:t>
            </w:r>
          </w:p>
        </w:tc>
        <w:tc>
          <w:tcPr>
            <w:tcW w:w="768" w:type="dxa"/>
            <w:tcBorders>
              <w:top w:val="double" w:color="auto" w:sz="4" w:space="0"/>
              <w:left w:val="doub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color w:val="auto"/>
                <w:kern w:val="0"/>
                <w:sz w:val="21"/>
                <w:szCs w:val="21"/>
                <w:lang w:val="en-US" w:eastAsia="zh-CN" w:bidi="ar"/>
              </w:rPr>
              <w:t>索引页码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8" w:type="dxa"/>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报价</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（总分30分）</w:t>
            </w: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投标总价</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30</w:t>
            </w:r>
          </w:p>
        </w:tc>
        <w:tc>
          <w:tcPr>
            <w:tcW w:w="4683" w:type="dxa"/>
            <w:tcBorders>
              <w:left w:val="single" w:color="auto" w:sz="4" w:space="0"/>
              <w:bottom w:val="single" w:color="auto" w:sz="4" w:space="0"/>
              <w:right w:val="double" w:color="auto" w:sz="4" w:space="0"/>
            </w:tcBorders>
            <w:textDirection w:val="lrTb"/>
            <w:vAlign w:val="top"/>
          </w:tcPr>
          <w:p>
            <w:pPr>
              <w:keepNext w:val="0"/>
              <w:keepLines w:val="0"/>
              <w:pageBreakBefore w:val="0"/>
              <w:kinsoku/>
              <w:wordWrap/>
              <w:overflowPunct/>
              <w:topLinePunct w:val="0"/>
              <w:autoSpaceDE/>
              <w:autoSpaceDN/>
              <w:bidi w:val="0"/>
              <w:adjustRightInd w:val="0"/>
              <w:snapToGrid w:val="0"/>
              <w:spacing w:line="400" w:lineRule="exact"/>
              <w:textAlignment w:val="auto"/>
              <w:rPr>
                <w:rFonts w:ascii="方正仿宋_GBK" w:hAnsi="方正仿宋_GBK" w:eastAsia="方正仿宋_GBK" w:cs="方正仿宋_GBK"/>
                <w:snapToGrid w:val="0"/>
                <w:color w:val="000000"/>
                <w:kern w:val="0"/>
                <w:szCs w:val="21"/>
                <w:highlight w:val="none"/>
              </w:rPr>
            </w:pP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基准价为所有满足</w:t>
            </w:r>
            <w:r>
              <w:rPr>
                <w:rFonts w:hint="eastAsia" w:ascii="方正仿宋_GBK" w:hAnsi="方正仿宋_GBK" w:eastAsia="方正仿宋_GBK" w:cs="方正仿宋_GBK"/>
                <w:snapToGrid w:val="0"/>
                <w:color w:val="000000"/>
                <w:kern w:val="0"/>
                <w:szCs w:val="21"/>
                <w:highlight w:val="none"/>
                <w:lang w:eastAsia="zh-CN"/>
              </w:rPr>
              <w:t>响应人</w:t>
            </w:r>
            <w:r>
              <w:rPr>
                <w:rFonts w:ascii="方正仿宋_GBK" w:hAnsi="方正仿宋_GBK" w:eastAsia="方正仿宋_GBK" w:cs="方正仿宋_GBK"/>
                <w:snapToGrid w:val="0"/>
                <w:color w:val="000000"/>
                <w:kern w:val="0"/>
                <w:szCs w:val="21"/>
                <w:highlight w:val="none"/>
              </w:rPr>
              <w:t>资格要求的</w:t>
            </w:r>
            <w:r>
              <w:rPr>
                <w:rFonts w:hint="eastAsia" w:ascii="方正仿宋_GBK" w:hAnsi="方正仿宋_GBK" w:eastAsia="方正仿宋_GBK" w:cs="方正仿宋_GBK"/>
                <w:snapToGrid w:val="0"/>
                <w:color w:val="000000"/>
                <w:kern w:val="0"/>
                <w:szCs w:val="21"/>
                <w:highlight w:val="none"/>
              </w:rPr>
              <w:t>磋商</w:t>
            </w:r>
            <w:r>
              <w:rPr>
                <w:rFonts w:ascii="方正仿宋_GBK" w:hAnsi="方正仿宋_GBK" w:eastAsia="方正仿宋_GBK" w:cs="方正仿宋_GBK"/>
                <w:snapToGrid w:val="0"/>
                <w:color w:val="000000"/>
                <w:kern w:val="0"/>
                <w:szCs w:val="21"/>
                <w:highlight w:val="none"/>
              </w:rPr>
              <w:t>文件报价的平均值。</w:t>
            </w:r>
          </w:p>
          <w:p>
            <w:pPr>
              <w:keepNext w:val="0"/>
              <w:keepLines w:val="0"/>
              <w:pageBreakBefore w:val="0"/>
              <w:kinsoku/>
              <w:wordWrap/>
              <w:overflowPunct/>
              <w:topLinePunct w:val="0"/>
              <w:autoSpaceDE/>
              <w:autoSpaceDN/>
              <w:bidi w:val="0"/>
              <w:adjustRightInd w:val="0"/>
              <w:snapToGrid w:val="0"/>
              <w:spacing w:line="400" w:lineRule="exact"/>
              <w:textAlignment w:val="auto"/>
              <w:rPr>
                <w:rFonts w:ascii="方正仿宋_GBK" w:hAnsi="方正仿宋_GBK" w:eastAsia="方正仿宋_GBK" w:cs="方正仿宋_GBK"/>
                <w:snapToGrid w:val="0"/>
                <w:color w:val="000000"/>
                <w:kern w:val="0"/>
                <w:szCs w:val="21"/>
                <w:highlight w:val="none"/>
              </w:rPr>
            </w:pPr>
            <w:r>
              <w:rPr>
                <w:rFonts w:ascii="方正仿宋_GBK" w:hAnsi="方正仿宋_GBK" w:eastAsia="方正仿宋_GBK" w:cs="方正仿宋_GBK"/>
                <w:snapToGrid w:val="0"/>
                <w:color w:val="000000"/>
                <w:kern w:val="0"/>
                <w:szCs w:val="21"/>
                <w:highlight w:val="none"/>
              </w:rPr>
              <w:t>投标报价得分＝（1-ABS(投标报价-</w:t>
            </w: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w:t>
            </w:r>
            <w:r>
              <w:rPr>
                <w:rFonts w:hint="eastAsia" w:ascii="方正仿宋_GBK" w:hAnsi="方正仿宋_GBK" w:eastAsia="方正仿宋_GBK" w:cs="方正仿宋_GBK"/>
                <w:snapToGrid w:val="0"/>
                <w:color w:val="000000"/>
                <w:kern w:val="0"/>
                <w:szCs w:val="21"/>
                <w:highlight w:val="none"/>
              </w:rPr>
              <w:t>评标</w:t>
            </w:r>
            <w:r>
              <w:rPr>
                <w:rFonts w:ascii="方正仿宋_GBK" w:hAnsi="方正仿宋_GBK" w:eastAsia="方正仿宋_GBK" w:cs="方正仿宋_GBK"/>
                <w:snapToGrid w:val="0"/>
                <w:color w:val="000000"/>
                <w:kern w:val="0"/>
                <w:szCs w:val="21"/>
                <w:highlight w:val="none"/>
              </w:rPr>
              <w:t>基准价）×</w:t>
            </w:r>
            <w:r>
              <w:rPr>
                <w:rFonts w:hint="eastAsia" w:ascii="方正仿宋_GBK" w:hAnsi="方正仿宋_GBK" w:eastAsia="方正仿宋_GBK" w:cs="方正仿宋_GBK"/>
                <w:snapToGrid w:val="0"/>
                <w:color w:val="000000"/>
                <w:kern w:val="0"/>
                <w:szCs w:val="21"/>
                <w:highlight w:val="none"/>
                <w:lang w:val="en-US" w:eastAsia="zh-CN"/>
              </w:rPr>
              <w:t>3</w:t>
            </w:r>
            <w:r>
              <w:rPr>
                <w:rFonts w:ascii="方正仿宋_GBK" w:hAnsi="方正仿宋_GBK" w:eastAsia="方正仿宋_GBK" w:cs="方正仿宋_GBK"/>
                <w:snapToGrid w:val="0"/>
                <w:color w:val="000000"/>
                <w:kern w:val="0"/>
                <w:szCs w:val="21"/>
                <w:highlight w:val="none"/>
              </w:rPr>
              <w:t>0</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ascii="方正仿宋_GBK" w:hAnsi="方正仿宋_GBK" w:eastAsia="方正仿宋_GBK" w:cs="方正仿宋_GBK"/>
                <w:snapToGrid w:val="0"/>
                <w:color w:val="000000"/>
                <w:kern w:val="0"/>
                <w:szCs w:val="21"/>
                <w:highlight w:val="none"/>
              </w:rPr>
              <w:t>投标报价为项目总体含税价，计算结果四舍五入保留两位小数。</w:t>
            </w:r>
          </w:p>
        </w:tc>
        <w:tc>
          <w:tcPr>
            <w:tcW w:w="768" w:type="dxa"/>
            <w:tcBorders>
              <w:left w:val="double" w:color="auto" w:sz="4" w:space="0"/>
              <w:bottom w:val="single" w:color="auto" w:sz="4" w:space="0"/>
              <w:right w:val="double" w:color="auto" w:sz="4" w:space="0"/>
            </w:tcBorders>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598" w:type="dxa"/>
            <w:vMerge w:val="restart"/>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技术部分</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（总分35分）</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收单、理</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赔等服务</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25</w:t>
            </w:r>
          </w:p>
        </w:tc>
        <w:tc>
          <w:tcPr>
            <w:tcW w:w="4683" w:type="dxa"/>
            <w:tcBorders>
              <w:left w:val="single" w:color="auto" w:sz="4" w:space="0"/>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1、承诺专人上门收单，每月上门服务不少于1次，满足得5分；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2、服务本企业并在理赔资料齐全的情况下，7天（含）内结案，得5分，8-14天（含）内结案，得3分，14天以上结案，不得分；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3、提供理赔查询服务：如专职服务人员查询、公司客服电话查询、公司APP查询、微信公众号查询、公司官网查询等，每提供一项得1分，最多得5分；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4、提供咨询答疑服务：如专职服务人员咨询答疑、公司客服电话咨询答疑、线上客服咨询答疑，每提供一项得1分，最多得3分；</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小金额理赔案件免收发票原件，参与响应人提供理赔案件免收发票原件的金额承诺，金额在1万元（含）以上的，得7分，8000元（含）-1万元以上的，得5分，6000元（含）-8000元以上的，得3分，4000元（含）-6000元以上的，得1分，4000元以下的，不得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其他特色</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服务</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10</w:t>
            </w:r>
          </w:p>
        </w:tc>
        <w:tc>
          <w:tcPr>
            <w:tcW w:w="4683" w:type="dxa"/>
            <w:tcBorders>
              <w:left w:val="single" w:color="auto" w:sz="4" w:space="0"/>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1、设立VIP通道进行理赔；</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2、报案和投诉当天处理；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3、无偿提供就医陪诊服务（协助员工建号取卡、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陪检查、陪取药、代取报告）；</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4、无偿提供住院床位安排服务（10个工作日内）；</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5、能提供院前、院中、院后患者关怀服务；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6、能通过自身系统平台提供全国范围内三甲医院挂号的医疗服务，完成时效7个工作日(含)内；</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7、为员工提供专用的健康管理APP，能提供线上问诊服务；</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8、可免费开设健康讲座；</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9、定期提供理赔数据报告；</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10、为员工提供综合金融保险服务。</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以上项目每满足一项得1分，满分10分。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服务方案</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10</w:t>
            </w:r>
          </w:p>
        </w:tc>
        <w:tc>
          <w:tcPr>
            <w:tcW w:w="4683" w:type="dxa"/>
            <w:tcBorders>
              <w:left w:val="single" w:color="auto" w:sz="4" w:space="0"/>
              <w:bottom w:val="single" w:color="auto" w:sz="4" w:space="0"/>
              <w:right w:val="double" w:color="auto" w:sz="4" w:space="0"/>
            </w:tcBorders>
            <w:textDirection w:val="lrTb"/>
            <w:vAlign w:val="center"/>
          </w:tcPr>
          <w:p>
            <w:pPr>
              <w:pStyle w:val="28"/>
              <w:spacing w:line="360" w:lineRule="exact"/>
              <w:ind w:firstLine="0" w:firstLineChars="0"/>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rPr>
              <w:t>根据</w:t>
            </w:r>
            <w:r>
              <w:rPr>
                <w:rFonts w:hint="eastAsia" w:ascii="方正仿宋_GBK" w:hAnsi="方正仿宋_GBK" w:eastAsia="方正仿宋_GBK" w:cs="方正仿宋_GBK"/>
                <w:szCs w:val="21"/>
                <w:lang w:val="en-US" w:eastAsia="zh-CN"/>
              </w:rPr>
              <w:t>响应人</w:t>
            </w:r>
            <w:r>
              <w:rPr>
                <w:rFonts w:hint="eastAsia" w:ascii="方正仿宋_GBK" w:hAnsi="方正仿宋_GBK" w:eastAsia="方正仿宋_GBK" w:cs="方正仿宋_GBK"/>
                <w:szCs w:val="21"/>
              </w:rPr>
              <w:t>提供的服务方案，包括项目</w:t>
            </w:r>
            <w:r>
              <w:rPr>
                <w:rFonts w:hint="eastAsia" w:ascii="方正仿宋_GBK" w:hAnsi="方正仿宋_GBK" w:eastAsia="方正仿宋_GBK" w:cs="方正仿宋_GBK"/>
                <w:szCs w:val="21"/>
                <w:lang w:val="en-US" w:eastAsia="zh-CN"/>
              </w:rPr>
              <w:t>险种、保险责任、保险金额、详细责任描述等方面进行横向综合评判打分：</w:t>
            </w:r>
          </w:p>
          <w:p>
            <w:pPr>
              <w:widowControl/>
              <w:spacing w:beforeLines="0" w:afterLines="0" w:line="360" w:lineRule="exact"/>
              <w:jc w:val="left"/>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Cs w:val="21"/>
                <w:lang w:val="en-US" w:eastAsia="zh-CN"/>
              </w:rPr>
              <w:t>（1）方案完整合理、符合需要、操作简便、赔付及时，得8-10分；</w:t>
            </w:r>
          </w:p>
          <w:p>
            <w:pPr>
              <w:pStyle w:val="28"/>
              <w:spacing w:line="360" w:lineRule="exact"/>
              <w:ind w:firstLine="0" w:firstLineChars="0"/>
              <w:rPr>
                <w:rFonts w:ascii="方正仿宋_GBK" w:hAnsi="方正仿宋_GBK" w:eastAsia="方正仿宋_GBK" w:cs="方正仿宋_GBK"/>
                <w:szCs w:val="21"/>
              </w:rPr>
            </w:pPr>
            <w:r>
              <w:rPr>
                <w:rFonts w:hint="eastAsia" w:ascii="方正仿宋_GBK" w:hAnsi="方正仿宋_GBK" w:eastAsia="方正仿宋_GBK" w:cs="方正仿宋_GBK"/>
                <w:szCs w:val="21"/>
                <w:lang w:eastAsia="zh-CN"/>
              </w:rPr>
              <w:t>（2）方案较为完整合理、基本符合需要、操作较为简便、赔付较为及时，得5-7分；</w:t>
            </w:r>
          </w:p>
          <w:p>
            <w:pPr>
              <w:pStyle w:val="28"/>
              <w:spacing w:line="360" w:lineRule="exact"/>
              <w:ind w:firstLine="0" w:firstLineChars="0"/>
              <w:rPr>
                <w:rFonts w:hint="eastAsia" w:ascii="方正仿宋_GBK" w:hAnsi="方正仿宋_GBK" w:eastAsia="方正仿宋_GBK" w:cs="方正仿宋_GBK"/>
                <w:color w:val="auto"/>
                <w:kern w:val="0"/>
                <w:sz w:val="21"/>
                <w:szCs w:val="21"/>
                <w:lang w:val="en-US" w:eastAsia="zh-CN" w:bidi="ar"/>
              </w:rPr>
            </w:pPr>
            <w:r>
              <w:rPr>
                <w:rFonts w:ascii="方正仿宋_GBK" w:hAnsi="方正仿宋_GBK" w:eastAsia="方正仿宋_GBK" w:cs="方正仿宋_GBK"/>
                <w:szCs w:val="21"/>
              </w:rPr>
              <w:t>（3）</w:t>
            </w:r>
            <w:r>
              <w:rPr>
                <w:rFonts w:hint="eastAsia" w:ascii="方正仿宋_GBK" w:hAnsi="方正仿宋_GBK" w:eastAsia="方正仿宋_GBK" w:cs="方正仿宋_GBK"/>
                <w:szCs w:val="21"/>
                <w:lang w:val="en-US" w:eastAsia="zh-CN"/>
              </w:rPr>
              <w:t>提供简单的方案、不太符合需要、操作繁琐、赔付较慢，得0-4分。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trPr>
        <w:tc>
          <w:tcPr>
            <w:tcW w:w="1598" w:type="dxa"/>
            <w:vMerge w:val="restart"/>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商务部分</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color w:val="auto"/>
                <w:kern w:val="0"/>
                <w:sz w:val="21"/>
                <w:szCs w:val="21"/>
                <w:lang w:bidi="ar"/>
              </w:rPr>
              <w:t>（总分</w:t>
            </w:r>
            <w:r>
              <w:rPr>
                <w:rFonts w:hint="eastAsia" w:ascii="方正仿宋_GBK" w:hAnsi="方正仿宋_GBK" w:eastAsia="方正仿宋_GBK" w:cs="方正仿宋_GBK"/>
                <w:color w:val="auto"/>
                <w:kern w:val="0"/>
                <w:sz w:val="21"/>
                <w:szCs w:val="21"/>
                <w:lang w:val="en-US" w:eastAsia="zh-CN" w:bidi="ar"/>
              </w:rPr>
              <w:t>35</w:t>
            </w:r>
            <w:r>
              <w:rPr>
                <w:rFonts w:hint="eastAsia" w:ascii="方正仿宋_GBK" w:hAnsi="方正仿宋_GBK" w:eastAsia="方正仿宋_GBK" w:cs="方正仿宋_GBK"/>
                <w:color w:val="auto"/>
                <w:kern w:val="0"/>
                <w:sz w:val="21"/>
                <w:szCs w:val="21"/>
                <w:lang w:bidi="ar"/>
              </w:rPr>
              <w:t>分）</w:t>
            </w: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公司规模</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4683" w:type="dxa"/>
            <w:tcBorders>
              <w:left w:val="single" w:color="auto" w:sz="4" w:space="0"/>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注册资金大于40亿元（含），得5分；30亿元（含）到40亿元，得3分；30亿元以下，得1分。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总公司偿</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付能力充</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足率</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val="en-US"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4683" w:type="dxa"/>
            <w:tcBorders>
              <w:left w:val="single" w:color="auto" w:sz="4" w:space="0"/>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根据响应人总公司2022年第三、四季度“综合偿付能力充足率”结果值区间打分。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1、单个季度结果值在 250%(含 )及以上，得 2.5 分/个;</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2、单个季度结果值在 200% (含 )-250%，得1.5分1个;</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3、单个季度结果值在 200%以下，得 0.5 分/个。</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注：需提供2022年第三、四季度证明其核心偿付能力的审计报告复印件并加盖公章，未提供的不得分。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总公司风</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险综合评</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级</w:t>
            </w:r>
          </w:p>
        </w:tc>
        <w:tc>
          <w:tcPr>
            <w:tcW w:w="768" w:type="dxa"/>
            <w:tcBorders>
              <w:left w:val="single" w:color="auto" w:sz="4" w:space="0"/>
              <w:bottom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5</w:t>
            </w:r>
          </w:p>
        </w:tc>
        <w:tc>
          <w:tcPr>
            <w:tcW w:w="4683" w:type="dxa"/>
            <w:tcBorders>
              <w:left w:val="single" w:color="auto" w:sz="4" w:space="0"/>
              <w:bottom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提供响应人总公司2022年1-4季度的“最近一期风险综合评级”。</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1、4期均是A，得5分；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2、3期是A，得4分；</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3、2期是A，得2分；</w:t>
            </w:r>
            <w:r>
              <w:rPr>
                <w:rFonts w:hint="eastAsia" w:ascii="方正仿宋_GBK" w:hAnsi="方正仿宋_GBK" w:eastAsia="方正仿宋_GBK" w:cs="方正仿宋_GBK"/>
                <w:snapToGrid w:val="0"/>
                <w:color w:val="auto"/>
                <w:kern w:val="0"/>
                <w:szCs w:val="21"/>
                <w:lang w:val="en-US" w:eastAsia="zh-CN"/>
              </w:rPr>
              <w:br w:type="textWrapping"/>
            </w:r>
            <w:r>
              <w:rPr>
                <w:rFonts w:hint="eastAsia" w:ascii="方正仿宋_GBK" w:hAnsi="方正仿宋_GBK" w:eastAsia="方正仿宋_GBK" w:cs="方正仿宋_GBK"/>
                <w:snapToGrid w:val="0"/>
                <w:color w:val="auto"/>
                <w:kern w:val="0"/>
                <w:szCs w:val="21"/>
                <w:lang w:val="en-US" w:eastAsia="zh-CN"/>
              </w:rPr>
              <w:t>4、1期是A，得1分；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5、无A，不得分。</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以响应人官网公布的2022年1-4季度，共4个季度偿付能力报告摘要中风险监管评级结果为准，提供公布网址及截图并加盖公章，未提供的不得分。</w:t>
            </w:r>
          </w:p>
        </w:tc>
        <w:tc>
          <w:tcPr>
            <w:tcW w:w="768" w:type="dxa"/>
            <w:tcBorders>
              <w:left w:val="double" w:color="auto" w:sz="4" w:space="0"/>
              <w:bottom w:val="sing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总公司保</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险消费投</w:t>
            </w:r>
          </w:p>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诉情况</w:t>
            </w:r>
          </w:p>
        </w:tc>
        <w:tc>
          <w:tcPr>
            <w:tcW w:w="768"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eastAsia="zh-CN" w:bidi="ar"/>
              </w:rPr>
            </w:pPr>
            <w:r>
              <w:rPr>
                <w:rFonts w:hint="eastAsia" w:ascii="方正仿宋_GBK" w:hAnsi="方正仿宋_GBK" w:eastAsia="方正仿宋_GBK" w:cs="方正仿宋_GBK"/>
                <w:snapToGrid w:val="0"/>
                <w:color w:val="auto"/>
                <w:kern w:val="0"/>
                <w:szCs w:val="21"/>
                <w:lang w:val="en-US" w:eastAsia="zh-CN"/>
              </w:rPr>
              <w:t>3</w:t>
            </w:r>
          </w:p>
        </w:tc>
        <w:tc>
          <w:tcPr>
            <w:tcW w:w="4683" w:type="dxa"/>
            <w:tcBorders>
              <w:left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银保监会最近一期监管机构统计消费投诉情况中万张保单投诉量（件/万张）最低的得3分，以此类推排名第二的得2分，排名第三得1分，排名第三以后的，不得分。</w:t>
            </w:r>
          </w:p>
          <w:p>
            <w:pPr>
              <w:widowControl/>
              <w:spacing w:beforeLines="0" w:afterLines="0" w:line="360" w:lineRule="exact"/>
              <w:jc w:val="left"/>
              <w:rPr>
                <w:rFonts w:hint="eastAsia" w:ascii="方正仿宋_GBK" w:hAnsi="方正仿宋_GBK" w:eastAsia="方正仿宋_GBK" w:cs="方正仿宋_GBK"/>
                <w:color w:val="auto"/>
                <w:kern w:val="0"/>
                <w:sz w:val="21"/>
                <w:szCs w:val="21"/>
                <w:lang w:bidi="ar"/>
              </w:rPr>
            </w:pPr>
            <w:r>
              <w:rPr>
                <w:rFonts w:hint="eastAsia" w:ascii="方正仿宋_GBK" w:hAnsi="方正仿宋_GBK" w:eastAsia="方正仿宋_GBK" w:cs="方正仿宋_GBK"/>
                <w:snapToGrid w:val="0"/>
                <w:color w:val="auto"/>
                <w:kern w:val="0"/>
                <w:szCs w:val="21"/>
                <w:lang w:val="en-US" w:eastAsia="zh-CN"/>
              </w:rPr>
              <w:t>以银保监消保发的《中国银保监会消费者权益保护局关于2022年X季度保险消费投诉情况的通报》为准，提供公布数据截图。</w:t>
            </w:r>
          </w:p>
        </w:tc>
        <w:tc>
          <w:tcPr>
            <w:tcW w:w="768" w:type="dxa"/>
            <w:tcBorders>
              <w:left w:val="doub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598" w:type="dxa"/>
            <w:vMerge w:val="continue"/>
            <w:tcBorders>
              <w:left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行政监管结果</w:t>
            </w:r>
          </w:p>
        </w:tc>
        <w:tc>
          <w:tcPr>
            <w:tcW w:w="768" w:type="dxa"/>
            <w:tcBorders>
              <w:left w:val="sing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3</w:t>
            </w:r>
          </w:p>
        </w:tc>
        <w:tc>
          <w:tcPr>
            <w:tcW w:w="4683" w:type="dxa"/>
            <w:tcBorders>
              <w:left w:val="sing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提供重庆保监局网站2020-2022年度行政处罚情况汇总，没有处罚得3分，有1份处罚扣1分，扣完为止。如有处罚情况，还需提供处罚情况说明。未提供处罚情况说明或情况不实得0分。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以重庆市保监局网站公布行政处罚截图为准，提供公布网址及截图，没有处罚的响应人还须提供无处罚书面声明。</w:t>
            </w:r>
          </w:p>
        </w:tc>
        <w:tc>
          <w:tcPr>
            <w:tcW w:w="768" w:type="dxa"/>
            <w:tcBorders>
              <w:left w:val="doub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598" w:type="dxa"/>
            <w:vMerge w:val="continue"/>
            <w:tcBorders>
              <w:left w:val="double" w:color="auto" w:sz="4" w:space="0"/>
              <w:bottom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c>
          <w:tcPr>
            <w:tcW w:w="746" w:type="dxa"/>
            <w:tcBorders>
              <w:left w:val="single" w:color="auto" w:sz="4" w:space="0"/>
              <w:bottom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过往项目</w:t>
            </w:r>
          </w:p>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经验</w:t>
            </w:r>
          </w:p>
        </w:tc>
        <w:tc>
          <w:tcPr>
            <w:tcW w:w="768" w:type="dxa"/>
            <w:tcBorders>
              <w:left w:val="single" w:color="auto" w:sz="4" w:space="0"/>
              <w:bottom w:val="double" w:color="auto" w:sz="4" w:space="0"/>
              <w:right w:val="single" w:color="auto" w:sz="4" w:space="0"/>
            </w:tcBorders>
            <w:textDirection w:val="lrTb"/>
            <w:vAlign w:val="center"/>
          </w:tcPr>
          <w:p>
            <w:pPr>
              <w:widowControl/>
              <w:spacing w:beforeLines="0" w:afterLines="0" w:line="360" w:lineRule="exact"/>
              <w:jc w:val="center"/>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4</w:t>
            </w:r>
          </w:p>
        </w:tc>
        <w:tc>
          <w:tcPr>
            <w:tcW w:w="4683" w:type="dxa"/>
            <w:tcBorders>
              <w:left w:val="single" w:color="auto" w:sz="4" w:space="0"/>
              <w:bottom w:val="double" w:color="auto" w:sz="4" w:space="0"/>
              <w:right w:val="double" w:color="auto" w:sz="4" w:space="0"/>
            </w:tcBorders>
            <w:textDirection w:val="lrTb"/>
            <w:vAlign w:val="center"/>
          </w:tcPr>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提供最近3年来（即2020年3月至2023年2月）服务过员工人数超过1000人（含）以上的补充医疗保险项目（附合同关键页），每提供一个得2分，最多得4分。未提供得0分。</w:t>
            </w:r>
          </w:p>
          <w:p>
            <w:pPr>
              <w:widowControl/>
              <w:spacing w:beforeLines="0" w:afterLines="0" w:line="360" w:lineRule="exact"/>
              <w:jc w:val="left"/>
              <w:rPr>
                <w:rFonts w:hint="eastAsia" w:ascii="方正仿宋_GBK" w:hAnsi="方正仿宋_GBK" w:eastAsia="方正仿宋_GBK" w:cs="方正仿宋_GBK"/>
                <w:snapToGrid w:val="0"/>
                <w:color w:val="auto"/>
                <w:kern w:val="0"/>
                <w:szCs w:val="21"/>
                <w:lang w:val="en-US" w:eastAsia="zh-CN"/>
              </w:rPr>
            </w:pPr>
            <w:r>
              <w:rPr>
                <w:rFonts w:hint="eastAsia" w:ascii="方正仿宋_GBK" w:hAnsi="方正仿宋_GBK" w:eastAsia="方正仿宋_GBK" w:cs="方正仿宋_GBK"/>
                <w:snapToGrid w:val="0"/>
                <w:color w:val="auto"/>
                <w:kern w:val="0"/>
                <w:szCs w:val="21"/>
                <w:lang w:val="en-US" w:eastAsia="zh-CN"/>
              </w:rPr>
              <w:t>以提供的合同或协议复印件，至少包含合同或协议封面页、人数页、签字盖章页（敏感信息如金额等可处理不显示），同一客户不同保险年度计为1个项目。</w:t>
            </w:r>
          </w:p>
        </w:tc>
        <w:tc>
          <w:tcPr>
            <w:tcW w:w="768" w:type="dxa"/>
            <w:tcBorders>
              <w:left w:val="double" w:color="auto" w:sz="4" w:space="0"/>
              <w:bottom w:val="double" w:color="auto" w:sz="4" w:space="0"/>
              <w:right w:val="double" w:color="auto" w:sz="4" w:space="0"/>
            </w:tcBorders>
            <w:vAlign w:val="center"/>
          </w:tcPr>
          <w:p>
            <w:pPr>
              <w:widowControl/>
              <w:spacing w:beforeLines="0" w:afterLines="0" w:line="360" w:lineRule="exact"/>
              <w:jc w:val="center"/>
              <w:rPr>
                <w:rFonts w:hint="eastAsia" w:ascii="方正仿宋_GBK" w:hAnsi="方正仿宋_GBK" w:eastAsia="方正仿宋_GBK" w:cs="方正仿宋_GBK"/>
                <w:color w:val="auto"/>
                <w:kern w:val="0"/>
                <w:sz w:val="21"/>
                <w:szCs w:val="21"/>
                <w:lang w:bidi="ar"/>
              </w:rPr>
            </w:pPr>
          </w:p>
        </w:tc>
      </w:tr>
    </w:tbl>
    <w:p>
      <w:pPr>
        <w:pStyle w:val="4"/>
        <w:numPr>
          <w:ilvl w:val="0"/>
          <w:numId w:val="0"/>
        </w:numPr>
        <w:tabs>
          <w:tab w:val="left" w:pos="420"/>
          <w:tab w:val="clear" w:pos="851"/>
        </w:tabs>
        <w:spacing w:line="600" w:lineRule="exact"/>
        <w:jc w:val="left"/>
        <w:rPr>
          <w:rFonts w:hint="eastAsia" w:ascii="方正仿宋_GBK" w:hAnsi="方正仿宋_GBK" w:eastAsia="方正仿宋_GBK" w:cs="方正仿宋_GBK"/>
          <w:b/>
          <w:bCs w:val="0"/>
          <w:color w:val="auto"/>
        </w:rPr>
        <w:sectPr>
          <w:pgSz w:w="11906" w:h="16838"/>
          <w:pgMar w:top="1440" w:right="1740" w:bottom="1440" w:left="1797" w:header="964"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bookmarkStart w:id="275" w:name="_Toc20574"/>
      <w:bookmarkStart w:id="276" w:name="_Toc19011"/>
      <w:bookmarkStart w:id="277" w:name="_Toc28156"/>
      <w:bookmarkStart w:id="278" w:name="_Toc7337"/>
      <w:bookmarkStart w:id="279" w:name="_Toc28189"/>
    </w:p>
    <w:p>
      <w:pPr>
        <w:pStyle w:val="4"/>
        <w:numPr>
          <w:ilvl w:val="0"/>
          <w:numId w:val="0"/>
        </w:numPr>
        <w:tabs>
          <w:tab w:val="left" w:pos="420"/>
          <w:tab w:val="clear" w:pos="851"/>
        </w:tabs>
        <w:spacing w:line="600" w:lineRule="exact"/>
        <w:jc w:val="left"/>
        <w:rPr>
          <w:rFonts w:hint="eastAsia" w:ascii="方正仿宋_GBK" w:hAnsi="方正仿宋_GBK" w:eastAsia="方正仿宋_GBK" w:cs="方正仿宋_GBK"/>
          <w:b/>
          <w:bCs w:val="0"/>
          <w:color w:val="auto"/>
        </w:rPr>
      </w:pPr>
      <w:bookmarkStart w:id="280" w:name="_Toc11296"/>
      <w:r>
        <w:rPr>
          <w:rFonts w:hint="eastAsia" w:ascii="方正仿宋_GBK" w:hAnsi="方正仿宋_GBK" w:eastAsia="方正仿宋_GBK" w:cs="方正仿宋_GBK"/>
          <w:b/>
          <w:bCs w:val="0"/>
          <w:color w:val="auto"/>
        </w:rPr>
        <w:t>2报价一览表格式</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600" w:lineRule="exact"/>
        <w:jc w:val="center"/>
        <w:rPr>
          <w:rFonts w:ascii="方正仿宋_GBK" w:hAnsi="方正仿宋_GBK" w:eastAsia="方正仿宋_GBK" w:cs="方正仿宋_GBK"/>
          <w:b/>
          <w:color w:val="auto"/>
          <w:sz w:val="32"/>
          <w:szCs w:val="36"/>
        </w:rPr>
      </w:pPr>
      <w:r>
        <w:rPr>
          <w:rFonts w:hint="eastAsia" w:ascii="方正仿宋_GBK" w:hAnsi="方正仿宋_GBK" w:eastAsia="方正仿宋_GBK" w:cs="方正仿宋_GBK"/>
          <w:b/>
          <w:color w:val="auto"/>
          <w:sz w:val="32"/>
          <w:szCs w:val="36"/>
        </w:rPr>
        <w:t>报价一览表</w:t>
      </w:r>
    </w:p>
    <w:p>
      <w:pPr>
        <w:tabs>
          <w:tab w:val="left" w:pos="720"/>
          <w:tab w:val="left" w:pos="864"/>
        </w:tabs>
        <w:spacing w:line="600" w:lineRule="exact"/>
        <w:rPr>
          <w:rFonts w:ascii="方正仿宋_GBK" w:hAnsi="方正仿宋_GBK" w:eastAsia="方正仿宋_GBK" w:cs="方正仿宋_GBK"/>
          <w:bCs/>
          <w:color w:val="auto"/>
          <w:sz w:val="32"/>
          <w:szCs w:val="36"/>
        </w:rPr>
      </w:pPr>
      <w:r>
        <w:rPr>
          <w:rFonts w:hint="eastAsia" w:ascii="方正仿宋_GBK" w:hAnsi="方正仿宋_GBK" w:eastAsia="方正仿宋_GBK" w:cs="方正仿宋_GBK"/>
          <w:bCs/>
          <w:color w:val="auto"/>
          <w:sz w:val="32"/>
          <w:szCs w:val="36"/>
        </w:rPr>
        <w:t>项目名称：</w:t>
      </w:r>
      <w:r>
        <w:rPr>
          <w:rFonts w:hint="eastAsia" w:hAnsi="方正仿宋_GBK" w:eastAsia="方正仿宋_GBK" w:cs="方正仿宋_GBK"/>
          <w:bCs/>
          <w:color w:val="auto"/>
          <w:sz w:val="32"/>
          <w:szCs w:val="32"/>
          <w:lang w:val="en-US" w:eastAsia="zh-CN" w:bidi="ar"/>
        </w:rPr>
        <w:t>补充医疗保险项目</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响应</w:t>
      </w:r>
      <w:r>
        <w:rPr>
          <w:rFonts w:hint="eastAsia" w:ascii="方正仿宋_GBK" w:hAnsi="方正仿宋_GBK" w:eastAsia="方正仿宋_GBK" w:cs="方正仿宋_GBK"/>
          <w:color w:val="auto"/>
          <w:sz w:val="32"/>
          <w:szCs w:val="36"/>
        </w:rPr>
        <w:t>单位：</w:t>
      </w:r>
    </w:p>
    <w:tbl>
      <w:tblPr>
        <w:tblStyle w:val="23"/>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711"/>
        <w:gridCol w:w="1992"/>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60" w:type="dxa"/>
            <w:vAlign w:val="center"/>
          </w:tcPr>
          <w:p>
            <w:pPr>
              <w:snapToGrid w:val="0"/>
              <w:spacing w:line="240" w:lineRule="atLeast"/>
              <w:jc w:val="center"/>
              <w:rPr>
                <w:rFonts w:ascii="方正仿宋_GBK" w:hAnsi="方正仿宋_GBK" w:eastAsia="方正仿宋_GBK" w:cs="方正仿宋_GBK"/>
                <w:b/>
                <w:color w:val="auto"/>
                <w:sz w:val="24"/>
                <w:szCs w:val="28"/>
              </w:rPr>
            </w:pPr>
            <w:r>
              <w:rPr>
                <w:rFonts w:ascii="方正仿宋_GBK" w:hAnsi="方正仿宋_GBK" w:eastAsia="方正仿宋_GBK" w:cs="方正仿宋_GBK"/>
                <w:b/>
                <w:color w:val="auto"/>
                <w:sz w:val="24"/>
                <w:szCs w:val="28"/>
              </w:rPr>
              <w:t>序号</w:t>
            </w:r>
          </w:p>
        </w:tc>
        <w:tc>
          <w:tcPr>
            <w:tcW w:w="3711" w:type="dxa"/>
            <w:vAlign w:val="center"/>
          </w:tcPr>
          <w:p>
            <w:pPr>
              <w:snapToGrid w:val="0"/>
              <w:spacing w:line="240" w:lineRule="atLeast"/>
              <w:jc w:val="center"/>
              <w:rPr>
                <w:rFonts w:hint="eastAsia" w:ascii="方正仿宋_GBK" w:hAnsi="方正仿宋_GBK" w:eastAsia="方正仿宋_GBK" w:cs="方正仿宋_GBK"/>
                <w:b/>
                <w:color w:val="auto"/>
                <w:sz w:val="24"/>
                <w:szCs w:val="28"/>
                <w:lang w:eastAsia="zh-CN"/>
              </w:rPr>
            </w:pPr>
            <w:r>
              <w:rPr>
                <w:rFonts w:hint="eastAsia" w:ascii="方正仿宋_GBK" w:hAnsi="方正仿宋_GBK" w:eastAsia="方正仿宋_GBK" w:cs="方正仿宋_GBK"/>
                <w:b/>
                <w:color w:val="auto"/>
                <w:sz w:val="24"/>
                <w:szCs w:val="28"/>
                <w:lang w:val="en-US" w:eastAsia="zh-CN"/>
              </w:rPr>
              <w:t>保险服务项目</w:t>
            </w:r>
          </w:p>
        </w:tc>
        <w:tc>
          <w:tcPr>
            <w:tcW w:w="1992" w:type="dxa"/>
            <w:vAlign w:val="center"/>
          </w:tcPr>
          <w:p>
            <w:pPr>
              <w:snapToGrid w:val="0"/>
              <w:spacing w:line="240" w:lineRule="atLeast"/>
              <w:jc w:val="center"/>
              <w:rPr>
                <w:rFonts w:ascii="方正仿宋_GBK" w:hAnsi="方正仿宋_GBK" w:eastAsia="方正仿宋_GBK" w:cs="方正仿宋_GBK"/>
                <w:b/>
                <w:color w:val="auto"/>
                <w:sz w:val="24"/>
                <w:szCs w:val="28"/>
              </w:rPr>
            </w:pPr>
            <w:r>
              <w:rPr>
                <w:rFonts w:hint="eastAsia" w:ascii="方正仿宋_GBK" w:hAnsi="方正仿宋_GBK" w:eastAsia="方正仿宋_GBK" w:cs="方正仿宋_GBK"/>
                <w:b/>
                <w:color w:val="auto"/>
                <w:sz w:val="24"/>
                <w:szCs w:val="28"/>
                <w:lang w:val="en-US" w:eastAsia="zh-CN"/>
              </w:rPr>
              <w:t>报价</w:t>
            </w:r>
            <w:r>
              <w:rPr>
                <w:rFonts w:ascii="方正仿宋_GBK" w:hAnsi="方正仿宋_GBK" w:eastAsia="方正仿宋_GBK" w:cs="方正仿宋_GBK"/>
                <w:b/>
                <w:color w:val="auto"/>
                <w:sz w:val="24"/>
                <w:szCs w:val="28"/>
              </w:rPr>
              <w:t>（元</w:t>
            </w:r>
            <w:r>
              <w:rPr>
                <w:rFonts w:hint="eastAsia" w:ascii="方正仿宋_GBK" w:hAnsi="方正仿宋_GBK" w:eastAsia="方正仿宋_GBK" w:cs="方正仿宋_GBK"/>
                <w:b/>
                <w:color w:val="auto"/>
                <w:sz w:val="24"/>
                <w:szCs w:val="28"/>
                <w:lang w:val="en-US" w:eastAsia="zh-CN"/>
              </w:rPr>
              <w:t>/人/年</w:t>
            </w:r>
            <w:r>
              <w:rPr>
                <w:rFonts w:ascii="方正仿宋_GBK" w:hAnsi="方正仿宋_GBK" w:eastAsia="方正仿宋_GBK" w:cs="方正仿宋_GBK"/>
                <w:b/>
                <w:color w:val="auto"/>
                <w:sz w:val="24"/>
                <w:szCs w:val="28"/>
              </w:rPr>
              <w:t>）</w:t>
            </w:r>
          </w:p>
        </w:tc>
        <w:tc>
          <w:tcPr>
            <w:tcW w:w="1861" w:type="dxa"/>
            <w:vAlign w:val="center"/>
          </w:tcPr>
          <w:p>
            <w:pPr>
              <w:snapToGrid w:val="0"/>
              <w:spacing w:line="240" w:lineRule="atLeast"/>
              <w:jc w:val="center"/>
              <w:rPr>
                <w:rFonts w:ascii="方正仿宋_GBK" w:hAnsi="方正仿宋_GBK" w:eastAsia="方正仿宋_GBK" w:cs="方正仿宋_GBK"/>
                <w:b/>
                <w:color w:val="auto"/>
                <w:sz w:val="24"/>
                <w:szCs w:val="28"/>
              </w:rPr>
            </w:pPr>
            <w:r>
              <w:rPr>
                <w:rFonts w:ascii="方正仿宋_GBK" w:hAnsi="方正仿宋_GBK" w:eastAsia="方正仿宋_GBK" w:cs="方正仿宋_GBK"/>
                <w:b/>
                <w:color w:val="auto"/>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960" w:type="dxa"/>
            <w:vAlign w:val="center"/>
          </w:tcPr>
          <w:p>
            <w:pPr>
              <w:snapToGrid w:val="0"/>
              <w:spacing w:line="240" w:lineRule="atLeast"/>
              <w:jc w:val="center"/>
              <w:rPr>
                <w:rFonts w:ascii="方正仿宋_GBK" w:hAnsi="方正仿宋_GBK" w:eastAsia="方正仿宋_GBK" w:cs="方正仿宋_GBK"/>
                <w:b w:val="0"/>
                <w:bCs/>
                <w:color w:val="auto"/>
                <w:sz w:val="24"/>
                <w:szCs w:val="28"/>
              </w:rPr>
            </w:pPr>
            <w:r>
              <w:rPr>
                <w:rFonts w:ascii="方正仿宋_GBK" w:hAnsi="方正仿宋_GBK" w:eastAsia="方正仿宋_GBK" w:cs="方正仿宋_GBK"/>
                <w:b w:val="0"/>
                <w:bCs/>
                <w:color w:val="auto"/>
                <w:sz w:val="24"/>
                <w:szCs w:val="28"/>
              </w:rPr>
              <w:t>1</w:t>
            </w:r>
          </w:p>
        </w:tc>
        <w:tc>
          <w:tcPr>
            <w:tcW w:w="3711"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住院责任</w:t>
            </w:r>
          </w:p>
        </w:tc>
        <w:tc>
          <w:tcPr>
            <w:tcW w:w="1992" w:type="dxa"/>
            <w:vMerge w:val="restart"/>
          </w:tcPr>
          <w:p>
            <w:pPr>
              <w:snapToGrid w:val="0"/>
              <w:spacing w:line="240" w:lineRule="atLeast"/>
              <w:jc w:val="center"/>
              <w:rPr>
                <w:rFonts w:ascii="方正仿宋_GBK" w:hAnsi="方正仿宋_GBK" w:eastAsia="方正仿宋_GBK" w:cs="方正仿宋_GBK"/>
                <w:b w:val="0"/>
                <w:bCs/>
                <w:color w:val="auto"/>
                <w:sz w:val="32"/>
                <w:szCs w:val="36"/>
              </w:rPr>
            </w:pPr>
          </w:p>
        </w:tc>
        <w:tc>
          <w:tcPr>
            <w:tcW w:w="1861" w:type="dxa"/>
            <w:vAlign w:val="center"/>
          </w:tcPr>
          <w:p>
            <w:pPr>
              <w:snapToGrid w:val="0"/>
              <w:spacing w:line="240" w:lineRule="atLeast"/>
              <w:jc w:val="center"/>
              <w:rPr>
                <w:rFonts w:ascii="方正仿宋_GBK" w:hAnsi="方正仿宋_GBK" w:eastAsia="方正仿宋_GBK" w:cs="方正仿宋_GBK"/>
                <w:b w:val="0"/>
                <w:bCs/>
                <w:color w:val="auto"/>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60"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2</w:t>
            </w:r>
          </w:p>
        </w:tc>
        <w:tc>
          <w:tcPr>
            <w:tcW w:w="3711"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门诊责任</w:t>
            </w:r>
          </w:p>
        </w:tc>
        <w:tc>
          <w:tcPr>
            <w:tcW w:w="1992" w:type="dxa"/>
            <w:vMerge w:val="continue"/>
          </w:tcPr>
          <w:p>
            <w:pPr>
              <w:snapToGrid w:val="0"/>
              <w:spacing w:line="240" w:lineRule="atLeast"/>
              <w:jc w:val="center"/>
              <w:rPr>
                <w:rFonts w:ascii="方正仿宋_GBK" w:hAnsi="方正仿宋_GBK" w:eastAsia="方正仿宋_GBK" w:cs="方正仿宋_GBK"/>
                <w:b w:val="0"/>
                <w:bCs/>
                <w:color w:val="auto"/>
                <w:sz w:val="32"/>
                <w:szCs w:val="36"/>
              </w:rPr>
            </w:pPr>
          </w:p>
        </w:tc>
        <w:tc>
          <w:tcPr>
            <w:tcW w:w="1861" w:type="dxa"/>
            <w:vAlign w:val="center"/>
          </w:tcPr>
          <w:p>
            <w:pPr>
              <w:snapToGrid w:val="0"/>
              <w:spacing w:line="240" w:lineRule="atLeast"/>
              <w:jc w:val="center"/>
              <w:rPr>
                <w:rFonts w:ascii="方正仿宋_GBK" w:hAnsi="方正仿宋_GBK" w:eastAsia="方正仿宋_GBK" w:cs="方正仿宋_GBK"/>
                <w:b w:val="0"/>
                <w:bCs/>
                <w:color w:val="auto"/>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60"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3</w:t>
            </w:r>
          </w:p>
        </w:tc>
        <w:tc>
          <w:tcPr>
            <w:tcW w:w="3711"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住院津贴</w:t>
            </w:r>
          </w:p>
        </w:tc>
        <w:tc>
          <w:tcPr>
            <w:tcW w:w="1992" w:type="dxa"/>
            <w:vMerge w:val="continue"/>
          </w:tcPr>
          <w:p>
            <w:pPr>
              <w:snapToGrid w:val="0"/>
              <w:spacing w:line="240" w:lineRule="atLeast"/>
              <w:jc w:val="center"/>
              <w:rPr>
                <w:rFonts w:ascii="方正仿宋_GBK" w:hAnsi="方正仿宋_GBK" w:eastAsia="方正仿宋_GBK" w:cs="方正仿宋_GBK"/>
                <w:b w:val="0"/>
                <w:bCs/>
                <w:color w:val="auto"/>
                <w:sz w:val="32"/>
                <w:szCs w:val="36"/>
              </w:rPr>
            </w:pPr>
          </w:p>
        </w:tc>
        <w:tc>
          <w:tcPr>
            <w:tcW w:w="1861" w:type="dxa"/>
            <w:vAlign w:val="center"/>
          </w:tcPr>
          <w:p>
            <w:pPr>
              <w:snapToGrid w:val="0"/>
              <w:spacing w:line="240" w:lineRule="atLeast"/>
              <w:jc w:val="center"/>
              <w:rPr>
                <w:rFonts w:ascii="方正仿宋_GBK" w:hAnsi="方正仿宋_GBK" w:eastAsia="方正仿宋_GBK" w:cs="方正仿宋_GBK"/>
                <w:b w:val="0"/>
                <w:bCs/>
                <w:color w:val="auto"/>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60"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4</w:t>
            </w:r>
          </w:p>
        </w:tc>
        <w:tc>
          <w:tcPr>
            <w:tcW w:w="3711"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大额医疗</w:t>
            </w:r>
          </w:p>
        </w:tc>
        <w:tc>
          <w:tcPr>
            <w:tcW w:w="1992" w:type="dxa"/>
            <w:vMerge w:val="continue"/>
          </w:tcPr>
          <w:p>
            <w:pPr>
              <w:snapToGrid w:val="0"/>
              <w:spacing w:line="240" w:lineRule="atLeast"/>
              <w:jc w:val="center"/>
              <w:rPr>
                <w:rFonts w:ascii="方正仿宋_GBK" w:hAnsi="方正仿宋_GBK" w:eastAsia="方正仿宋_GBK" w:cs="方正仿宋_GBK"/>
                <w:b w:val="0"/>
                <w:bCs/>
                <w:color w:val="auto"/>
                <w:sz w:val="32"/>
                <w:szCs w:val="36"/>
              </w:rPr>
            </w:pPr>
          </w:p>
        </w:tc>
        <w:tc>
          <w:tcPr>
            <w:tcW w:w="1861" w:type="dxa"/>
            <w:vAlign w:val="center"/>
          </w:tcPr>
          <w:p>
            <w:pPr>
              <w:snapToGrid w:val="0"/>
              <w:spacing w:line="240" w:lineRule="atLeast"/>
              <w:jc w:val="center"/>
              <w:rPr>
                <w:rFonts w:ascii="方正仿宋_GBK" w:hAnsi="方正仿宋_GBK" w:eastAsia="方正仿宋_GBK" w:cs="方正仿宋_GBK"/>
                <w:b w:val="0"/>
                <w:bCs/>
                <w:color w:val="auto"/>
                <w:sz w:val="32"/>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960"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5</w:t>
            </w:r>
          </w:p>
        </w:tc>
        <w:tc>
          <w:tcPr>
            <w:tcW w:w="3711" w:type="dxa"/>
            <w:vAlign w:val="center"/>
          </w:tcPr>
          <w:p>
            <w:pPr>
              <w:snapToGrid w:val="0"/>
              <w:spacing w:line="240" w:lineRule="atLeast"/>
              <w:jc w:val="center"/>
              <w:rPr>
                <w:rFonts w:hint="eastAsia" w:ascii="方正仿宋_GBK" w:hAnsi="方正仿宋_GBK" w:eastAsia="方正仿宋_GBK" w:cs="方正仿宋_GBK"/>
                <w:b w:val="0"/>
                <w:bCs/>
                <w:color w:val="auto"/>
                <w:sz w:val="24"/>
                <w:szCs w:val="28"/>
                <w:lang w:val="en-US" w:eastAsia="zh-CN"/>
              </w:rPr>
            </w:pPr>
            <w:r>
              <w:rPr>
                <w:rFonts w:hint="eastAsia" w:ascii="方正仿宋_GBK" w:hAnsi="方正仿宋_GBK" w:eastAsia="方正仿宋_GBK" w:cs="方正仿宋_GBK"/>
                <w:b w:val="0"/>
                <w:bCs/>
                <w:color w:val="auto"/>
                <w:sz w:val="24"/>
                <w:szCs w:val="28"/>
                <w:lang w:val="en-US" w:eastAsia="zh-CN"/>
              </w:rPr>
              <w:t>特需医疗金管理费</w:t>
            </w:r>
          </w:p>
        </w:tc>
        <w:tc>
          <w:tcPr>
            <w:tcW w:w="3853" w:type="dxa"/>
            <w:gridSpan w:val="2"/>
          </w:tcPr>
          <w:p>
            <w:pPr>
              <w:snapToGrid w:val="0"/>
              <w:spacing w:line="240" w:lineRule="atLeast"/>
              <w:jc w:val="center"/>
              <w:rPr>
                <w:rFonts w:hint="eastAsia" w:ascii="方正仿宋_GBK" w:hAnsi="方正仿宋_GBK" w:eastAsia="方正仿宋_GBK" w:cs="方正仿宋_GBK"/>
                <w:b w:val="0"/>
                <w:bCs/>
                <w:color w:val="auto"/>
                <w:sz w:val="32"/>
                <w:szCs w:val="36"/>
                <w:lang w:val="en-US" w:eastAsia="zh-CN"/>
              </w:rPr>
            </w:pPr>
            <w:r>
              <w:rPr>
                <w:rFonts w:hint="eastAsia" w:ascii="方正仿宋_GBK" w:hAnsi="方正仿宋_GBK" w:eastAsia="方正仿宋_GBK" w:cs="方正仿宋_GBK"/>
                <w:b w:val="0"/>
                <w:bCs/>
                <w:color w:val="auto"/>
                <w:sz w:val="32"/>
                <w:szCs w:val="36"/>
                <w:lang w:val="en-US" w:eastAsia="zh-CN"/>
              </w:rPr>
              <w:t>%</w:t>
            </w:r>
          </w:p>
        </w:tc>
      </w:tr>
    </w:tbl>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说明：1.本报价是折扣后的最终人民币报价。</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2.</w:t>
      </w: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在</w:t>
      </w:r>
      <w:r>
        <w:rPr>
          <w:rFonts w:hint="eastAsia" w:ascii="方正仿宋_GBK" w:hAnsi="方正仿宋_GBK" w:eastAsia="方正仿宋_GBK" w:cs="方正仿宋_GBK"/>
          <w:color w:val="auto"/>
          <w:sz w:val="32"/>
          <w:szCs w:val="36"/>
          <w:lang w:val="en-US" w:eastAsia="zh-CN"/>
        </w:rPr>
        <w:t>成交</w:t>
      </w:r>
      <w:r>
        <w:rPr>
          <w:rFonts w:hint="eastAsia" w:ascii="方正仿宋_GBK" w:hAnsi="方正仿宋_GBK" w:eastAsia="方正仿宋_GBK" w:cs="方正仿宋_GBK"/>
          <w:color w:val="auto"/>
          <w:sz w:val="32"/>
          <w:szCs w:val="36"/>
        </w:rPr>
        <w:t>后不得在此表价格外出现其他费用。</w:t>
      </w: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响应</w:t>
      </w:r>
      <w:r>
        <w:rPr>
          <w:rFonts w:hint="eastAsia" w:ascii="方正仿宋_GBK" w:hAnsi="方正仿宋_GBK" w:eastAsia="方正仿宋_GBK" w:cs="方正仿宋_GBK"/>
          <w:color w:val="auto"/>
          <w:sz w:val="32"/>
          <w:szCs w:val="36"/>
        </w:rPr>
        <w:t>有效期：自</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年</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月</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日至</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年</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月</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日</w:t>
      </w: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响应人</w:t>
      </w:r>
      <w:r>
        <w:rPr>
          <w:rFonts w:hint="eastAsia" w:ascii="方正仿宋_GBK" w:hAnsi="方正仿宋_GBK" w:eastAsia="方正仿宋_GBK" w:cs="方正仿宋_GBK"/>
          <w:color w:val="auto"/>
          <w:sz w:val="32"/>
          <w:szCs w:val="36"/>
        </w:rPr>
        <w:t>名称:</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单位盖章:</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代表签字：</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职务：</w:t>
      </w:r>
    </w:p>
    <w:p>
      <w:pPr>
        <w:spacing w:line="600" w:lineRule="exact"/>
        <w:rPr>
          <w:rFonts w:ascii="方正仿宋_GBK" w:hAnsi="方正仿宋_GBK" w:eastAsia="方正仿宋_GBK" w:cs="方正仿宋_GBK"/>
          <w:color w:val="auto"/>
          <w:sz w:val="32"/>
          <w:szCs w:val="36"/>
          <w:u w:val="single"/>
        </w:rPr>
      </w:pPr>
      <w:r>
        <w:rPr>
          <w:rFonts w:hint="eastAsia" w:ascii="方正仿宋_GBK" w:hAnsi="方正仿宋_GBK" w:eastAsia="方正仿宋_GBK" w:cs="方正仿宋_GBK"/>
          <w:color w:val="auto"/>
          <w:sz w:val="32"/>
          <w:szCs w:val="36"/>
        </w:rPr>
        <w:t>日期：</w:t>
      </w:r>
    </w:p>
    <w:p>
      <w:pPr>
        <w:pStyle w:val="4"/>
        <w:numPr>
          <w:ilvl w:val="0"/>
          <w:numId w:val="0"/>
        </w:numPr>
        <w:tabs>
          <w:tab w:val="left" w:pos="420"/>
          <w:tab w:val="clear" w:pos="851"/>
        </w:tabs>
        <w:spacing w:line="600" w:lineRule="exact"/>
        <w:rPr>
          <w:rFonts w:hint="eastAsia" w:ascii="方正仿宋_GBK" w:hAnsi="方正仿宋_GBK" w:eastAsia="方正仿宋_GBK" w:cs="方正仿宋_GBK"/>
          <w:b/>
          <w:bCs w:val="0"/>
          <w:color w:val="auto"/>
        </w:rPr>
      </w:pPr>
      <w:bookmarkStart w:id="281" w:name="_Toc20538"/>
      <w:bookmarkStart w:id="282" w:name="_Toc9817"/>
      <w:bookmarkStart w:id="283" w:name="_Toc21131"/>
      <w:bookmarkStart w:id="284" w:name="_Toc29620"/>
      <w:bookmarkStart w:id="285" w:name="_Toc24351"/>
      <w:bookmarkStart w:id="286" w:name="_Toc23100"/>
      <w:bookmarkStart w:id="287" w:name="_Toc19536"/>
      <w:bookmarkStart w:id="288" w:name="_Toc12961"/>
      <w:bookmarkStart w:id="289" w:name="_Toc10304"/>
      <w:bookmarkStart w:id="290" w:name="_Toc21635"/>
      <w:bookmarkStart w:id="291" w:name="_Toc27611"/>
      <w:bookmarkStart w:id="292" w:name="_Toc20384"/>
      <w:bookmarkStart w:id="293" w:name="_Toc20569"/>
      <w:bookmarkStart w:id="294" w:name="_Toc23149"/>
      <w:bookmarkStart w:id="295" w:name="_Toc11607"/>
      <w:bookmarkStart w:id="296" w:name="_Toc7107"/>
      <w:r>
        <w:rPr>
          <w:rFonts w:hint="eastAsia" w:ascii="方正仿宋_GBK" w:hAnsi="方正仿宋_GBK" w:eastAsia="方正仿宋_GBK" w:cs="方正仿宋_GBK"/>
          <w:b/>
          <w:bCs w:val="0"/>
          <w:color w:val="auto"/>
        </w:rPr>
        <w:br w:type="page"/>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Start w:id="297" w:name="_Toc20486"/>
      <w:bookmarkStart w:id="298" w:name="_Toc10052"/>
      <w:bookmarkStart w:id="299" w:name="_Toc5393"/>
      <w:bookmarkStart w:id="300" w:name="_Toc4415"/>
      <w:bookmarkStart w:id="301" w:name="_Toc29589"/>
      <w:bookmarkStart w:id="302" w:name="_Toc2567"/>
      <w:bookmarkStart w:id="303" w:name="_Toc562"/>
      <w:bookmarkStart w:id="304" w:name="_Toc12741"/>
      <w:bookmarkStart w:id="305" w:name="_Toc3738"/>
      <w:bookmarkStart w:id="306" w:name="_Toc21518"/>
      <w:bookmarkStart w:id="307" w:name="_Toc22277"/>
      <w:bookmarkStart w:id="308" w:name="_Toc19782"/>
      <w:bookmarkStart w:id="309" w:name="_Toc19153"/>
      <w:bookmarkStart w:id="310" w:name="_Toc20986"/>
      <w:bookmarkStart w:id="311" w:name="_Toc7024"/>
      <w:bookmarkStart w:id="312" w:name="_Toc9549"/>
      <w:bookmarkStart w:id="313" w:name="_Toc12168"/>
      <w:bookmarkStart w:id="314" w:name="_Toc28143"/>
      <w:bookmarkStart w:id="315" w:name="_Toc21222"/>
      <w:r>
        <w:rPr>
          <w:rFonts w:hint="eastAsia" w:ascii="方正仿宋_GBK" w:hAnsi="方正仿宋_GBK" w:eastAsia="方正仿宋_GBK" w:cs="方正仿宋_GBK"/>
          <w:b/>
          <w:bCs w:val="0"/>
          <w:color w:val="auto"/>
          <w:lang w:val="en-US" w:eastAsia="zh-CN"/>
        </w:rPr>
        <w:t>3</w:t>
      </w:r>
      <w:r>
        <w:rPr>
          <w:rFonts w:hint="eastAsia" w:ascii="方正仿宋_GBK" w:hAnsi="方正仿宋_GBK" w:eastAsia="方正仿宋_GBK" w:cs="方正仿宋_GBK"/>
          <w:b/>
          <w:bCs w:val="0"/>
          <w:color w:val="auto"/>
        </w:rPr>
        <w:t>法定代表人授权书格式</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rPr>
          <w:rFonts w:ascii="宋体" w:hAnsi="宋体"/>
          <w:color w:val="auto"/>
          <w:sz w:val="28"/>
          <w:szCs w:val="32"/>
        </w:rPr>
      </w:pPr>
    </w:p>
    <w:p>
      <w:pPr>
        <w:spacing w:line="600" w:lineRule="exact"/>
        <w:ind w:firstLine="601"/>
        <w:jc w:val="center"/>
        <w:rPr>
          <w:rFonts w:ascii="方正仿宋_GBK" w:hAnsi="方正仿宋_GBK" w:eastAsia="方正仿宋_GBK" w:cs="方正仿宋_GBK"/>
          <w:b/>
          <w:color w:val="auto"/>
          <w:sz w:val="32"/>
          <w:szCs w:val="36"/>
        </w:rPr>
      </w:pPr>
      <w:r>
        <w:rPr>
          <w:rFonts w:hint="eastAsia" w:ascii="方正仿宋_GBK" w:hAnsi="方正仿宋_GBK" w:eastAsia="方正仿宋_GBK" w:cs="方正仿宋_GBK"/>
          <w:b/>
          <w:color w:val="auto"/>
          <w:sz w:val="32"/>
          <w:szCs w:val="36"/>
        </w:rPr>
        <w:t>法定代表人授权书</w:t>
      </w:r>
    </w:p>
    <w:p>
      <w:pPr>
        <w:spacing w:line="600" w:lineRule="exact"/>
        <w:rPr>
          <w:rFonts w:ascii="方正仿宋_GBK" w:hAnsi="方正仿宋_GBK" w:eastAsia="方正仿宋_GBK" w:cs="方正仿宋_GBK"/>
          <w:bCs/>
          <w:color w:val="auto"/>
          <w:sz w:val="32"/>
          <w:szCs w:val="36"/>
        </w:rPr>
      </w:pPr>
      <w:r>
        <w:rPr>
          <w:rFonts w:hint="eastAsia" w:ascii="方正仿宋_GBK" w:hAnsi="方正仿宋_GBK" w:eastAsia="方正仿宋_GBK" w:cs="方正仿宋_GBK"/>
          <w:bCs/>
          <w:color w:val="auto"/>
          <w:sz w:val="32"/>
          <w:szCs w:val="36"/>
        </w:rPr>
        <w:t>致：</w:t>
      </w:r>
      <w:r>
        <w:rPr>
          <w:rFonts w:hint="eastAsia" w:eastAsia="方正仿宋_GBK"/>
          <w:bCs/>
          <w:color w:val="auto"/>
          <w:sz w:val="32"/>
          <w:szCs w:val="32"/>
          <w:lang w:eastAsia="zh-CN" w:bidi="ar"/>
        </w:rPr>
        <w:t>重庆农畜产品交易所股份有限公司</w:t>
      </w:r>
    </w:p>
    <w:p>
      <w:pPr>
        <w:spacing w:line="600" w:lineRule="exact"/>
        <w:ind w:left="359" w:leftChars="171" w:firstLine="640" w:firstLineChars="200"/>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本人（姓名）系（</w:t>
      </w: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名称）的法定代表人，现委托（姓名）为我方代理人。代理人根据授权，以我方名义签署、澄清、说明、补正、递交、撤回、修改《</w:t>
      </w:r>
      <w:r>
        <w:rPr>
          <w:rFonts w:hint="eastAsia" w:ascii="方正仿宋_GBK" w:hAnsi="方正仿宋_GBK" w:eastAsia="方正仿宋_GBK" w:cs="方正仿宋_GBK"/>
          <w:bCs/>
          <w:color w:val="auto"/>
          <w:sz w:val="32"/>
          <w:szCs w:val="36"/>
          <w:lang w:val="en-US" w:eastAsia="zh-CN"/>
        </w:rPr>
        <w:t>补充医疗保险项目</w:t>
      </w:r>
      <w:r>
        <w:rPr>
          <w:rFonts w:hint="eastAsia" w:ascii="方正仿宋_GBK" w:hAnsi="方正仿宋_GBK" w:eastAsia="方正仿宋_GBK" w:cs="方正仿宋_GBK"/>
          <w:color w:val="auto"/>
          <w:sz w:val="32"/>
          <w:szCs w:val="36"/>
        </w:rPr>
        <w:t>》</w:t>
      </w:r>
      <w:r>
        <w:rPr>
          <w:rFonts w:hint="eastAsia" w:ascii="方正仿宋_GBK" w:hAnsi="方正仿宋_GBK" w:eastAsia="方正仿宋_GBK" w:cs="方正仿宋_GBK"/>
          <w:color w:val="auto"/>
          <w:sz w:val="32"/>
          <w:szCs w:val="36"/>
          <w:lang w:eastAsia="zh-CN"/>
        </w:rPr>
        <w:t>采购事宜</w:t>
      </w:r>
      <w:r>
        <w:rPr>
          <w:rFonts w:hint="eastAsia" w:ascii="方正仿宋_GBK" w:hAnsi="方正仿宋_GBK" w:eastAsia="方正仿宋_GBK" w:cs="方正仿宋_GBK"/>
          <w:color w:val="auto"/>
          <w:sz w:val="32"/>
          <w:szCs w:val="36"/>
        </w:rPr>
        <w:t>、签订合同和处理有关事宜，其法律后果由我方承担。</w:t>
      </w:r>
    </w:p>
    <w:p>
      <w:pPr>
        <w:spacing w:line="600" w:lineRule="exact"/>
        <w:ind w:left="359" w:leftChars="171" w:firstLine="640" w:firstLineChars="200"/>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委托期限：自本授权委托书签署之日起至本项目</w:t>
      </w:r>
      <w:r>
        <w:rPr>
          <w:rFonts w:hint="eastAsia" w:ascii="方正仿宋_GBK" w:hAnsi="方正仿宋_GBK" w:eastAsia="方正仿宋_GBK" w:cs="方正仿宋_GBK"/>
          <w:color w:val="auto"/>
          <w:sz w:val="32"/>
          <w:szCs w:val="36"/>
          <w:lang w:eastAsia="zh-CN"/>
        </w:rPr>
        <w:t>磋商</w:t>
      </w:r>
      <w:r>
        <w:rPr>
          <w:rFonts w:hint="eastAsia" w:ascii="方正仿宋_GBK" w:hAnsi="方正仿宋_GBK" w:eastAsia="方正仿宋_GBK" w:cs="方正仿宋_GBK"/>
          <w:color w:val="auto"/>
          <w:sz w:val="32"/>
          <w:szCs w:val="36"/>
        </w:rPr>
        <w:t>文件规定的“</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有效期”结束为止。</w:t>
      </w:r>
    </w:p>
    <w:p>
      <w:pPr>
        <w:spacing w:line="600" w:lineRule="exact"/>
        <w:ind w:left="359" w:leftChars="171" w:firstLine="640" w:firstLineChars="200"/>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代理人无转委托权。</w:t>
      </w:r>
    </w:p>
    <w:p>
      <w:pPr>
        <w:spacing w:line="600" w:lineRule="exact"/>
        <w:ind w:left="359" w:leftChars="171" w:firstLine="640" w:firstLineChars="200"/>
        <w:rPr>
          <w:rFonts w:ascii="方正仿宋_GBK" w:hAnsi="方正仿宋_GBK" w:eastAsia="方正仿宋_GBK" w:cs="方正仿宋_GBK"/>
          <w:color w:val="auto"/>
          <w:sz w:val="32"/>
          <w:szCs w:val="36"/>
        </w:rPr>
      </w:pPr>
    </w:p>
    <w:p>
      <w:pPr>
        <w:spacing w:line="600" w:lineRule="exact"/>
        <w:ind w:left="359" w:leftChars="171" w:firstLine="640" w:firstLineChars="200"/>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委托代理人：（签字或盖章）</w:t>
      </w:r>
    </w:p>
    <w:p>
      <w:pPr>
        <w:spacing w:line="600" w:lineRule="exact"/>
        <w:rPr>
          <w:rFonts w:ascii="方正仿宋_GBK" w:hAnsi="方正仿宋_GBK" w:eastAsia="方正仿宋_GBK" w:cs="方正仿宋_GBK"/>
          <w:color w:val="auto"/>
          <w:sz w:val="32"/>
          <w:szCs w:val="36"/>
          <w:u w:val="single"/>
        </w:rPr>
      </w:pPr>
      <w:r>
        <w:rPr>
          <w:rFonts w:hint="eastAsia" w:ascii="方正仿宋_GBK" w:hAnsi="方正仿宋_GBK" w:eastAsia="方正仿宋_GBK" w:cs="方正仿宋_GBK"/>
          <w:color w:val="auto"/>
          <w:sz w:val="32"/>
          <w:szCs w:val="36"/>
        </w:rPr>
        <w:t>性别：</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年龄：</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身份证号码：</w:t>
      </w: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职务：</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响应人</w:t>
      </w:r>
      <w:r>
        <w:rPr>
          <w:rFonts w:hint="eastAsia" w:ascii="方正仿宋_GBK" w:hAnsi="方正仿宋_GBK" w:eastAsia="方正仿宋_GBK" w:cs="方正仿宋_GBK"/>
          <w:color w:val="auto"/>
          <w:sz w:val="32"/>
          <w:szCs w:val="36"/>
        </w:rPr>
        <w:t>：（</w:t>
      </w: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全称）（盖章）</w:t>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法定代表人：（签字或盖章）</w:t>
      </w:r>
    </w:p>
    <w:p>
      <w:pPr>
        <w:spacing w:line="600" w:lineRule="exact"/>
        <w:rPr>
          <w:rFonts w:ascii="方正仿宋_GBK" w:hAnsi="方正仿宋_GBK" w:eastAsia="方正仿宋_GBK" w:cs="方正仿宋_GBK"/>
          <w:color w:val="auto"/>
          <w:sz w:val="32"/>
          <w:szCs w:val="36"/>
        </w:rPr>
      </w:pP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授权委托日期：年月日</w:t>
      </w:r>
    </w:p>
    <w:p>
      <w:pPr>
        <w:spacing w:line="600" w:lineRule="exact"/>
        <w:rPr>
          <w:rFonts w:ascii="宋体" w:hAnsi="宋体"/>
          <w:color w:val="auto"/>
          <w:sz w:val="28"/>
          <w:szCs w:val="32"/>
        </w:rPr>
      </w:pPr>
    </w:p>
    <w:tbl>
      <w:tblPr>
        <w:tblStyle w:val="23"/>
        <w:tblW w:w="8528"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00"/>
        <w:gridCol w:w="4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c>
          <w:tcPr>
            <w:tcW w:w="4200" w:type="dxa"/>
          </w:tcPr>
          <w:p>
            <w:pPr>
              <w:spacing w:line="600" w:lineRule="exact"/>
              <w:rPr>
                <w:rFonts w:hint="eastAsia" w:ascii="方正仿宋_GBK" w:hAnsi="方正仿宋_GBK" w:eastAsia="方正仿宋_GBK" w:cs="方正仿宋_GBK"/>
                <w:color w:val="auto"/>
                <w:sz w:val="28"/>
                <w:szCs w:val="32"/>
              </w:rPr>
            </w:pPr>
            <w:r>
              <w:rPr>
                <w:rFonts w:hint="eastAsia" w:ascii="方正仿宋_GBK" w:hAnsi="方正仿宋_GBK" w:eastAsia="方正仿宋_GBK" w:cs="方正仿宋_GBK"/>
                <w:color w:val="auto"/>
                <w:sz w:val="28"/>
                <w:szCs w:val="32"/>
              </w:rPr>
              <w:t>（法定代表人身份证复印件）</w:t>
            </w:r>
          </w:p>
        </w:tc>
        <w:tc>
          <w:tcPr>
            <w:tcW w:w="4328" w:type="dxa"/>
          </w:tcPr>
          <w:p>
            <w:pPr>
              <w:spacing w:line="600" w:lineRule="exact"/>
              <w:rPr>
                <w:rFonts w:hint="eastAsia" w:ascii="方正仿宋_GBK" w:hAnsi="方正仿宋_GBK" w:eastAsia="方正仿宋_GBK" w:cs="方正仿宋_GBK"/>
                <w:color w:val="auto"/>
                <w:sz w:val="28"/>
                <w:szCs w:val="32"/>
              </w:rPr>
            </w:pPr>
            <w:r>
              <w:rPr>
                <w:rFonts w:hint="eastAsia" w:ascii="方正仿宋_GBK" w:hAnsi="方正仿宋_GBK" w:eastAsia="方正仿宋_GBK" w:cs="方正仿宋_GBK"/>
                <w:color w:val="auto"/>
                <w:sz w:val="28"/>
                <w:szCs w:val="32"/>
              </w:rPr>
              <w:t>（被授权代表人身份证复印件）</w:t>
            </w:r>
          </w:p>
          <w:p>
            <w:pPr>
              <w:spacing w:line="600" w:lineRule="exact"/>
              <w:rPr>
                <w:rFonts w:hint="eastAsia" w:ascii="方正仿宋_GBK" w:hAnsi="方正仿宋_GBK" w:eastAsia="方正仿宋_GBK" w:cs="方正仿宋_GBK"/>
                <w:color w:val="auto"/>
                <w:sz w:val="28"/>
                <w:szCs w:val="32"/>
              </w:rPr>
            </w:pPr>
          </w:p>
          <w:p>
            <w:pPr>
              <w:spacing w:line="600" w:lineRule="exact"/>
              <w:rPr>
                <w:rFonts w:hint="eastAsia" w:ascii="方正仿宋_GBK" w:hAnsi="方正仿宋_GBK" w:eastAsia="方正仿宋_GBK" w:cs="方正仿宋_GBK"/>
                <w:color w:val="auto"/>
                <w:sz w:val="28"/>
                <w:szCs w:val="32"/>
              </w:rPr>
            </w:pPr>
          </w:p>
          <w:p>
            <w:pPr>
              <w:spacing w:line="600" w:lineRule="exact"/>
              <w:rPr>
                <w:rFonts w:hint="eastAsia" w:ascii="方正仿宋_GBK" w:hAnsi="方正仿宋_GBK" w:eastAsia="方正仿宋_GBK" w:cs="方正仿宋_GBK"/>
                <w:color w:val="auto"/>
                <w:sz w:val="28"/>
                <w:szCs w:val="32"/>
              </w:rPr>
            </w:pPr>
          </w:p>
          <w:p>
            <w:pPr>
              <w:spacing w:line="600" w:lineRule="exact"/>
              <w:rPr>
                <w:rFonts w:hint="eastAsia" w:ascii="方正仿宋_GBK" w:hAnsi="方正仿宋_GBK" w:eastAsia="方正仿宋_GBK" w:cs="方正仿宋_GBK"/>
                <w:color w:val="auto"/>
                <w:sz w:val="28"/>
                <w:szCs w:val="32"/>
              </w:rPr>
            </w:pPr>
          </w:p>
          <w:p>
            <w:pPr>
              <w:spacing w:line="600" w:lineRule="exact"/>
              <w:rPr>
                <w:rFonts w:hint="eastAsia" w:ascii="方正仿宋_GBK" w:hAnsi="方正仿宋_GBK" w:eastAsia="方正仿宋_GBK" w:cs="方正仿宋_GBK"/>
                <w:color w:val="auto"/>
                <w:sz w:val="28"/>
                <w:szCs w:val="32"/>
              </w:rPr>
            </w:pPr>
          </w:p>
        </w:tc>
      </w:tr>
    </w:tbl>
    <w:p>
      <w:pPr>
        <w:pStyle w:val="8"/>
        <w:rPr>
          <w:rFonts w:ascii="宋体" w:hAnsi="宋体"/>
          <w:color w:val="auto"/>
          <w:sz w:val="28"/>
          <w:szCs w:val="32"/>
        </w:rPr>
      </w:pPr>
    </w:p>
    <w:p>
      <w:pPr>
        <w:pStyle w:val="4"/>
        <w:numPr>
          <w:ilvl w:val="0"/>
          <w:numId w:val="0"/>
        </w:numPr>
        <w:tabs>
          <w:tab w:val="left" w:pos="420"/>
          <w:tab w:val="clear" w:pos="851"/>
        </w:tabs>
        <w:spacing w:line="600" w:lineRule="exact"/>
        <w:jc w:val="left"/>
        <w:rPr>
          <w:rFonts w:hint="eastAsia" w:ascii="方正仿宋_GBK" w:hAnsi="方正仿宋_GBK" w:eastAsia="方正仿宋_GBK" w:cs="方正仿宋_GBK"/>
          <w:b/>
          <w:bCs w:val="0"/>
          <w:color w:val="auto"/>
          <w:lang w:val="en-US" w:eastAsia="zh-CN"/>
        </w:rPr>
        <w:sectPr>
          <w:pgSz w:w="11906" w:h="16838"/>
          <w:pgMar w:top="1440" w:right="1740" w:bottom="1440" w:left="1797" w:header="964"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bookmarkStart w:id="316" w:name="_Toc2710"/>
      <w:bookmarkStart w:id="317" w:name="_Toc12314"/>
      <w:bookmarkStart w:id="318" w:name="_Toc1468"/>
      <w:bookmarkStart w:id="319" w:name="_Toc7416"/>
      <w:bookmarkStart w:id="320" w:name="_Toc3254"/>
      <w:bookmarkStart w:id="321" w:name="_Toc21728"/>
      <w:bookmarkStart w:id="322" w:name="_Toc29033"/>
      <w:bookmarkStart w:id="323" w:name="_Toc18405"/>
      <w:bookmarkStart w:id="324" w:name="_Toc7137"/>
      <w:bookmarkStart w:id="325" w:name="_Toc4816"/>
      <w:bookmarkStart w:id="326" w:name="_Toc11759"/>
      <w:bookmarkStart w:id="327" w:name="_Toc4580"/>
      <w:bookmarkStart w:id="328" w:name="_Toc22358"/>
      <w:bookmarkStart w:id="329" w:name="_Toc1328"/>
      <w:bookmarkStart w:id="330" w:name="_Toc12114"/>
      <w:bookmarkStart w:id="331" w:name="_Toc19113"/>
      <w:bookmarkStart w:id="332" w:name="_Toc8676"/>
      <w:bookmarkStart w:id="333" w:name="_Toc13352"/>
    </w:p>
    <w:p>
      <w:pPr>
        <w:pStyle w:val="4"/>
        <w:numPr>
          <w:ilvl w:val="0"/>
          <w:numId w:val="0"/>
        </w:numPr>
        <w:tabs>
          <w:tab w:val="left" w:pos="420"/>
          <w:tab w:val="clear" w:pos="851"/>
        </w:tabs>
        <w:spacing w:line="600" w:lineRule="exact"/>
        <w:jc w:val="left"/>
        <w:rPr>
          <w:rFonts w:hint="eastAsia" w:ascii="方正仿宋_GBK" w:hAnsi="方正仿宋_GBK" w:eastAsia="方正仿宋_GBK" w:cs="方正仿宋_GBK"/>
          <w:b/>
          <w:bCs w:val="0"/>
          <w:color w:val="auto"/>
        </w:rPr>
      </w:pPr>
      <w:bookmarkStart w:id="334" w:name="_Toc7973"/>
      <w:r>
        <w:rPr>
          <w:rFonts w:hint="eastAsia" w:ascii="方正仿宋_GBK" w:hAnsi="方正仿宋_GBK" w:eastAsia="方正仿宋_GBK" w:cs="方正仿宋_GBK"/>
          <w:b/>
          <w:bCs w:val="0"/>
          <w:color w:val="auto"/>
          <w:lang w:val="en-US" w:eastAsia="zh-CN"/>
        </w:rPr>
        <w:t>4</w:t>
      </w:r>
      <w:r>
        <w:rPr>
          <w:rFonts w:hint="eastAsia" w:ascii="方正仿宋_GBK" w:hAnsi="方正仿宋_GBK" w:eastAsia="方正仿宋_GBK" w:cs="方正仿宋_GBK"/>
          <w:b/>
          <w:bCs w:val="0"/>
          <w:color w:val="auto"/>
        </w:rPr>
        <w:t>资质证明文件格式</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4</w:t>
      </w:r>
      <w:r>
        <w:rPr>
          <w:rFonts w:hint="eastAsia" w:ascii="方正仿宋_GBK" w:hAnsi="方正仿宋_GBK" w:eastAsia="方正仿宋_GBK" w:cs="方正仿宋_GBK"/>
          <w:color w:val="auto"/>
          <w:sz w:val="32"/>
          <w:szCs w:val="36"/>
        </w:rPr>
        <w:t>.1</w:t>
      </w: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声明书格式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01"/>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b/>
          <w:color w:val="auto"/>
          <w:sz w:val="32"/>
          <w:szCs w:val="36"/>
          <w:lang w:eastAsia="zh-CN"/>
        </w:rPr>
        <w:t>响应人</w:t>
      </w:r>
      <w:r>
        <w:rPr>
          <w:rFonts w:hint="eastAsia" w:ascii="方正仿宋_GBK" w:hAnsi="方正仿宋_GBK" w:eastAsia="方正仿宋_GBK" w:cs="方正仿宋_GBK"/>
          <w:b/>
          <w:color w:val="auto"/>
          <w:sz w:val="32"/>
          <w:szCs w:val="36"/>
        </w:rPr>
        <w:t>声明书</w:t>
      </w:r>
      <w:r>
        <w:rPr>
          <w:rFonts w:hint="eastAsia" w:ascii="方正仿宋_GBK" w:hAnsi="方正仿宋_GBK" w:eastAsia="方正仿宋_GBK" w:cs="方正仿宋_GBK"/>
          <w:b/>
          <w:color w:val="auto"/>
          <w:sz w:val="32"/>
          <w:szCs w:val="36"/>
        </w:rPr>
        <w:cr/>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ascii="方正仿宋_GBK" w:hAnsi="方正仿宋_GBK" w:eastAsia="方正仿宋_GBK" w:cs="方正仿宋_GBK"/>
          <w:b/>
          <w:color w:val="auto"/>
          <w:sz w:val="32"/>
          <w:szCs w:val="36"/>
        </w:rPr>
      </w:pPr>
      <w:r>
        <w:rPr>
          <w:rFonts w:hint="eastAsia" w:ascii="方正仿宋_GBK" w:hAnsi="方正仿宋_GBK" w:eastAsia="方正仿宋_GBK" w:cs="方正仿宋_GBK"/>
          <w:color w:val="auto"/>
          <w:sz w:val="32"/>
          <w:szCs w:val="36"/>
        </w:rPr>
        <w:t>致：</w:t>
      </w:r>
      <w:r>
        <w:rPr>
          <w:rFonts w:hint="eastAsia" w:hAnsi="方正仿宋_GBK" w:eastAsia="方正仿宋_GBK" w:cs="方正仿宋_GBK"/>
          <w:color w:val="auto"/>
          <w:sz w:val="32"/>
          <w:szCs w:val="32"/>
          <w:lang w:eastAsia="zh-CN" w:bidi="ar"/>
        </w:rPr>
        <w:t>重庆农畜产品交易所股份有限公司、</w:t>
      </w:r>
      <w:bookmarkStart w:id="335" w:name="OLE_LINK1"/>
      <w:r>
        <w:rPr>
          <w:rFonts w:hint="eastAsia" w:hAnsi="方正仿宋_GBK" w:eastAsia="方正仿宋_GBK" w:cs="方正仿宋_GBK"/>
          <w:color w:val="auto"/>
          <w:sz w:val="32"/>
          <w:szCs w:val="32"/>
          <w:lang w:val="en-US" w:eastAsia="zh-CN" w:bidi="ar"/>
        </w:rPr>
        <w:t>重庆农蓄科技发展有限公司</w:t>
      </w:r>
    </w:p>
    <w:bookmarkEnd w:id="335"/>
    <w:p>
      <w:pPr>
        <w:keepNext w:val="0"/>
        <w:keepLines w:val="0"/>
        <w:pageBreakBefore w:val="0"/>
        <w:widowControl w:val="0"/>
        <w:kinsoku/>
        <w:wordWrap/>
        <w:overflowPunct/>
        <w:topLinePunct w:val="0"/>
        <w:autoSpaceDE/>
        <w:autoSpaceDN/>
        <w:bidi w:val="0"/>
        <w:adjustRightInd/>
        <w:snapToGrid/>
        <w:spacing w:line="600" w:lineRule="exact"/>
        <w:ind w:left="0" w:leftChars="0" w:firstLine="42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为响应贵方组织的《</w:t>
      </w:r>
      <w:r>
        <w:rPr>
          <w:rFonts w:hint="eastAsia" w:hAnsi="方正仿宋_GBK" w:eastAsia="方正仿宋_GBK" w:cs="方正仿宋_GBK"/>
          <w:color w:val="auto"/>
          <w:sz w:val="32"/>
          <w:szCs w:val="32"/>
          <w:lang w:val="en-US" w:eastAsia="zh-CN" w:bidi="ar"/>
        </w:rPr>
        <w:t>补充医疗保险项目</w:t>
      </w:r>
      <w:r>
        <w:rPr>
          <w:rFonts w:hint="eastAsia" w:ascii="方正仿宋_GBK" w:hAnsi="方正仿宋_GBK" w:eastAsia="方正仿宋_GBK" w:cs="方正仿宋_GBK"/>
          <w:color w:val="auto"/>
          <w:sz w:val="32"/>
          <w:szCs w:val="36"/>
        </w:rPr>
        <w:t>》的</w:t>
      </w:r>
      <w:r>
        <w:rPr>
          <w:rFonts w:hint="eastAsia" w:ascii="方正仿宋_GBK" w:hAnsi="方正仿宋_GBK" w:eastAsia="方正仿宋_GBK" w:cs="方正仿宋_GBK"/>
          <w:color w:val="auto"/>
          <w:sz w:val="32"/>
          <w:szCs w:val="36"/>
          <w:lang w:val="en-US" w:eastAsia="zh-CN"/>
        </w:rPr>
        <w:t>竞争性磋商</w:t>
      </w:r>
      <w:r>
        <w:rPr>
          <w:rFonts w:hint="eastAsia" w:ascii="方正仿宋_GBK" w:hAnsi="方正仿宋_GBK" w:eastAsia="方正仿宋_GBK" w:cs="方正仿宋_GBK"/>
          <w:color w:val="auto"/>
          <w:sz w:val="32"/>
          <w:szCs w:val="36"/>
        </w:rPr>
        <w:t>，我方愿参与</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，并承诺：从接到</w:t>
      </w:r>
      <w:r>
        <w:rPr>
          <w:rFonts w:hint="eastAsia" w:hAnsi="方正仿宋_GBK" w:eastAsia="方正仿宋_GBK" w:cs="方正仿宋_GBK"/>
          <w:color w:val="auto"/>
          <w:sz w:val="32"/>
          <w:szCs w:val="32"/>
          <w:lang w:bidi="ar"/>
        </w:rPr>
        <w:t>《</w:t>
      </w:r>
      <w:r>
        <w:rPr>
          <w:rFonts w:hint="eastAsia" w:hAnsi="方正仿宋_GBK" w:eastAsia="方正仿宋_GBK" w:cs="方正仿宋_GBK"/>
          <w:color w:val="auto"/>
          <w:sz w:val="32"/>
          <w:szCs w:val="32"/>
          <w:lang w:val="en-US" w:eastAsia="zh-CN" w:bidi="ar"/>
        </w:rPr>
        <w:t>补充医疗保险项目</w:t>
      </w:r>
      <w:r>
        <w:rPr>
          <w:rFonts w:hint="eastAsia" w:hAnsi="方正仿宋_GBK" w:eastAsia="方正仿宋_GBK" w:cs="方正仿宋_GBK"/>
          <w:color w:val="auto"/>
          <w:sz w:val="32"/>
          <w:szCs w:val="32"/>
          <w:lang w:bidi="ar"/>
        </w:rPr>
        <w:t>》</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文件之日起，对从</w:t>
      </w:r>
      <w:r>
        <w:rPr>
          <w:rFonts w:hint="eastAsia" w:ascii="方正仿宋_GBK" w:hAnsi="方正仿宋_GBK" w:eastAsia="方正仿宋_GBK" w:cs="方正仿宋_GBK"/>
          <w:color w:val="auto"/>
          <w:sz w:val="32"/>
          <w:szCs w:val="36"/>
          <w:lang w:eastAsia="zh-CN"/>
        </w:rPr>
        <w:t>磋商</w:t>
      </w:r>
      <w:r>
        <w:rPr>
          <w:rFonts w:hint="eastAsia" w:ascii="方正仿宋_GBK" w:hAnsi="方正仿宋_GBK" w:eastAsia="方正仿宋_GBK" w:cs="方正仿宋_GBK"/>
          <w:color w:val="auto"/>
          <w:sz w:val="32"/>
          <w:szCs w:val="36"/>
        </w:rPr>
        <w:t>活动中获得的</w:t>
      </w:r>
      <w:r>
        <w:rPr>
          <w:rFonts w:hint="eastAsia" w:ascii="方正仿宋_GBK" w:hAnsi="方正仿宋_GBK" w:eastAsia="方正仿宋_GBK" w:cs="方正仿宋_GBK"/>
          <w:color w:val="auto"/>
          <w:sz w:val="32"/>
          <w:szCs w:val="36"/>
          <w:lang w:eastAsia="zh-CN"/>
        </w:rPr>
        <w:t>采购人</w:t>
      </w:r>
      <w:r>
        <w:rPr>
          <w:rFonts w:hint="eastAsia" w:ascii="方正仿宋_GBK" w:hAnsi="方正仿宋_GBK" w:eastAsia="方正仿宋_GBK" w:cs="方正仿宋_GBK"/>
          <w:color w:val="auto"/>
          <w:sz w:val="32"/>
          <w:szCs w:val="36"/>
        </w:rPr>
        <w:t>相关资料承担保密责任。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42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我方（</w:t>
      </w:r>
      <w:r>
        <w:rPr>
          <w:rFonts w:hint="eastAsia" w:ascii="方正仿宋_GBK" w:hAnsi="方正仿宋_GBK" w:eastAsia="方正仿宋_GBK" w:cs="方正仿宋_GBK"/>
          <w:color w:val="auto"/>
          <w:sz w:val="32"/>
          <w:szCs w:val="36"/>
          <w:u w:val="single"/>
          <w:lang w:eastAsia="zh-CN"/>
        </w:rPr>
        <w:t>响应人</w:t>
      </w:r>
      <w:r>
        <w:rPr>
          <w:rFonts w:hint="eastAsia" w:ascii="方正仿宋_GBK" w:hAnsi="方正仿宋_GBK" w:eastAsia="方正仿宋_GBK" w:cs="方正仿宋_GBK"/>
          <w:color w:val="auto"/>
          <w:sz w:val="32"/>
          <w:szCs w:val="36"/>
          <w:u w:val="single"/>
        </w:rPr>
        <w:t>名称</w:t>
      </w:r>
      <w:r>
        <w:rPr>
          <w:rFonts w:hint="eastAsia" w:ascii="方正仿宋_GBK" w:hAnsi="方正仿宋_GBK" w:eastAsia="方正仿宋_GBK" w:cs="方正仿宋_GBK"/>
          <w:color w:val="auto"/>
          <w:sz w:val="32"/>
          <w:szCs w:val="36"/>
        </w:rPr>
        <w:t>）提供“项目需求书”中的服务，提交所有文件和全部说明是真实和正确的，并愿意承担因提供虚假文件所导致的一切不良后果（注：此款不承诺者自动丧失参加</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的资格）。我方理解贵方可能还要求提供更进一步的资格资料，并愿意应贵方的要求提交。</w:t>
      </w:r>
    </w:p>
    <w:p>
      <w:pPr>
        <w:keepNext w:val="0"/>
        <w:keepLines w:val="0"/>
        <w:pageBreakBefore w:val="0"/>
        <w:widowControl w:val="0"/>
        <w:kinsoku/>
        <w:wordWrap/>
        <w:overflowPunct/>
        <w:topLinePunct w:val="0"/>
        <w:autoSpaceDE/>
        <w:autoSpaceDN/>
        <w:bidi w:val="0"/>
        <w:adjustRightInd/>
        <w:snapToGrid/>
        <w:spacing w:line="600" w:lineRule="exact"/>
        <w:ind w:left="0" w:leftChars="0" w:right="-2" w:rightChars="-1" w:firstLine="48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 xml:space="preserve"> </w:t>
      </w:r>
      <w:r>
        <w:rPr>
          <w:rFonts w:hint="eastAsia" w:ascii="方正仿宋_GBK" w:hAnsi="方正仿宋_GBK" w:eastAsia="方正仿宋_GBK" w:cs="方正仿宋_GBK"/>
          <w:color w:val="auto"/>
          <w:sz w:val="32"/>
          <w:szCs w:val="36"/>
        </w:rPr>
        <w:t>我公司认识到贵公司</w:t>
      </w:r>
      <w:r>
        <w:rPr>
          <w:rFonts w:hint="eastAsia" w:ascii="方正仿宋_GBK" w:hAnsi="方正仿宋_GBK" w:eastAsia="方正仿宋_GBK" w:cs="方正仿宋_GBK"/>
          <w:color w:val="auto"/>
          <w:sz w:val="32"/>
          <w:szCs w:val="36"/>
          <w:lang w:val="en-US" w:eastAsia="zh-CN"/>
        </w:rPr>
        <w:t>采购</w:t>
      </w:r>
      <w:r>
        <w:rPr>
          <w:rFonts w:hint="eastAsia" w:ascii="方正仿宋_GBK" w:hAnsi="方正仿宋_GBK" w:eastAsia="方正仿宋_GBK" w:cs="方正仿宋_GBK"/>
          <w:color w:val="auto"/>
          <w:sz w:val="32"/>
          <w:szCs w:val="36"/>
        </w:rPr>
        <w:t>行为是企业</w:t>
      </w:r>
      <w:r>
        <w:rPr>
          <w:rFonts w:hint="eastAsia" w:ascii="方正仿宋_GBK" w:hAnsi="方正仿宋_GBK" w:eastAsia="方正仿宋_GBK" w:cs="方正仿宋_GBK"/>
          <w:color w:val="auto"/>
          <w:sz w:val="32"/>
          <w:szCs w:val="36"/>
          <w:lang w:val="en-US" w:eastAsia="zh-CN"/>
        </w:rPr>
        <w:t>采购</w:t>
      </w:r>
      <w:r>
        <w:rPr>
          <w:rFonts w:hint="eastAsia" w:ascii="方正仿宋_GBK" w:hAnsi="方正仿宋_GBK" w:eastAsia="方正仿宋_GBK" w:cs="方正仿宋_GBK"/>
          <w:color w:val="auto"/>
          <w:sz w:val="32"/>
          <w:szCs w:val="36"/>
        </w:rPr>
        <w:t>，非政府</w:t>
      </w:r>
      <w:r>
        <w:rPr>
          <w:rFonts w:hint="eastAsia" w:ascii="方正仿宋_GBK" w:hAnsi="方正仿宋_GBK" w:eastAsia="方正仿宋_GBK" w:cs="方正仿宋_GBK"/>
          <w:color w:val="auto"/>
          <w:sz w:val="32"/>
          <w:szCs w:val="36"/>
          <w:lang w:val="en-US" w:eastAsia="zh-CN"/>
        </w:rPr>
        <w:t>采购</w:t>
      </w:r>
      <w:r>
        <w:rPr>
          <w:rFonts w:hint="eastAsia" w:ascii="方正仿宋_GBK" w:hAnsi="方正仿宋_GBK" w:eastAsia="方正仿宋_GBK" w:cs="方正仿宋_GBK"/>
          <w:color w:val="auto"/>
          <w:sz w:val="32"/>
          <w:szCs w:val="36"/>
        </w:rPr>
        <w:t>。已认真阅读</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文件，并完全理解</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6"/>
        </w:rPr>
        <w:t>文件的内容。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2" w:rightChars="-1" w:firstLine="480"/>
        <w:jc w:val="both"/>
        <w:textAlignment w:val="auto"/>
        <w:outlineLvl w:val="9"/>
        <w:rPr>
          <w:rFonts w:ascii="方正仿宋_GBK" w:hAnsi="方正仿宋_GBK" w:eastAsia="方正仿宋_GBK" w:cs="方正仿宋_GBK"/>
          <w:color w:val="auto"/>
          <w:sz w:val="32"/>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eastAsia="zh-CN"/>
        </w:rPr>
        <w:t>响应人</w:t>
      </w:r>
      <w:r>
        <w:rPr>
          <w:rFonts w:hint="eastAsia" w:ascii="方正仿宋_GBK" w:hAnsi="方正仿宋_GBK" w:eastAsia="方正仿宋_GBK" w:cs="方正仿宋_GBK"/>
          <w:color w:val="auto"/>
          <w:sz w:val="32"/>
          <w:szCs w:val="36"/>
        </w:rPr>
        <w:t>（公章）：</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授权代表（签字或盖章）：</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t>日期：</w:t>
      </w:r>
    </w:p>
    <w:p>
      <w:pPr>
        <w:spacing w:line="600" w:lineRule="exact"/>
        <w:rPr>
          <w:rFonts w:hint="eastAsia"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rPr>
        <w:br w:type="page"/>
      </w:r>
    </w:p>
    <w:p>
      <w:pPr>
        <w:spacing w:line="600" w:lineRule="exact"/>
        <w:rPr>
          <w:rFonts w:ascii="方正仿宋_GBK" w:hAnsi="方正仿宋_GBK" w:eastAsia="方正仿宋_GBK" w:cs="方正仿宋_GBK"/>
          <w:color w:val="auto"/>
          <w:sz w:val="32"/>
          <w:szCs w:val="36"/>
        </w:rPr>
      </w:pPr>
      <w:r>
        <w:rPr>
          <w:rFonts w:hint="eastAsia" w:ascii="方正仿宋_GBK" w:hAnsi="方正仿宋_GBK" w:eastAsia="方正仿宋_GBK" w:cs="方正仿宋_GBK"/>
          <w:color w:val="auto"/>
          <w:sz w:val="32"/>
          <w:szCs w:val="36"/>
          <w:lang w:val="en-US" w:eastAsia="zh-CN"/>
        </w:rPr>
        <w:t>4</w:t>
      </w:r>
      <w:r>
        <w:rPr>
          <w:rFonts w:hint="eastAsia" w:ascii="方正仿宋_GBK" w:hAnsi="方正仿宋_GBK" w:eastAsia="方正仿宋_GBK" w:cs="方正仿宋_GBK"/>
          <w:color w:val="auto"/>
          <w:sz w:val="32"/>
          <w:szCs w:val="36"/>
        </w:rPr>
        <w:t>.2营业执照</w:t>
      </w:r>
      <w:bookmarkStart w:id="336" w:name="_Toc1205"/>
    </w:p>
    <w:p>
      <w:pPr>
        <w:spacing w:line="60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提供公司营业执照复印件，并须加盖公司公章。</w:t>
      </w:r>
      <w:bookmarkEnd w:id="336"/>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ascii="方正仿宋_GBK" w:hAnsi="方正仿宋_GBK" w:eastAsia="方正仿宋_GBK" w:cs="方正仿宋_GBK"/>
          <w:color w:val="auto"/>
          <w:sz w:val="32"/>
          <w:szCs w:val="32"/>
        </w:rPr>
      </w:pPr>
    </w:p>
    <w:p>
      <w:pPr>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br w:type="page"/>
      </w:r>
    </w:p>
    <w:p>
      <w:pPr>
        <w:keepNext w:val="0"/>
        <w:keepLines w:val="0"/>
        <w:pageBreakBefore w:val="0"/>
        <w:kinsoku/>
        <w:wordWrap/>
        <w:overflowPunct/>
        <w:topLinePunct w:val="0"/>
        <w:autoSpaceDE/>
        <w:autoSpaceDN/>
        <w:bidi w:val="0"/>
        <w:adjustRightInd/>
        <w:snapToGrid/>
        <w:ind w:left="0" w:leftChars="0" w:right="0" w:rightChars="0"/>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.3商业信誉声明书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3861" w:firstLineChars="1202"/>
        <w:jc w:val="both"/>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rPr>
        <w:t>声明书</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outlineLvl w:val="9"/>
        <w:rPr>
          <w:rFonts w:ascii="方正仿宋_GBK" w:hAnsi="方正仿宋_GBK" w:eastAsia="方正仿宋_GBK" w:cs="方正仿宋_GBK"/>
          <w:b/>
          <w:color w:val="auto"/>
          <w:sz w:val="32"/>
          <w:szCs w:val="36"/>
        </w:rPr>
      </w:pPr>
      <w:r>
        <w:rPr>
          <w:rFonts w:hint="eastAsia" w:ascii="方正仿宋_GBK" w:hAnsi="方正仿宋_GBK" w:eastAsia="方正仿宋_GBK" w:cs="方正仿宋_GBK"/>
          <w:color w:val="auto"/>
          <w:sz w:val="32"/>
          <w:szCs w:val="32"/>
        </w:rPr>
        <w:t>致：</w:t>
      </w:r>
      <w:r>
        <w:rPr>
          <w:rFonts w:hint="eastAsia" w:ascii="方正仿宋_GBK" w:hAnsi="方正仿宋_GBK" w:eastAsia="方正仿宋_GBK" w:cs="方正仿宋_GBK"/>
          <w:color w:val="auto"/>
          <w:sz w:val="32"/>
          <w:szCs w:val="32"/>
          <w:lang w:eastAsia="zh-CN"/>
        </w:rPr>
        <w:t>重庆农畜产品交易所股份有限公司、</w:t>
      </w:r>
      <w:r>
        <w:rPr>
          <w:rFonts w:hint="eastAsia" w:hAnsi="方正仿宋_GBK" w:eastAsia="方正仿宋_GBK" w:cs="方正仿宋_GBK"/>
          <w:color w:val="auto"/>
          <w:sz w:val="32"/>
          <w:szCs w:val="32"/>
          <w:lang w:val="en-US" w:eastAsia="zh-CN" w:bidi="ar"/>
        </w:rPr>
        <w:t>重庆农蓄科技发展有限公司</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我司在</w:t>
      </w:r>
      <w:r>
        <w:rPr>
          <w:rFonts w:hint="eastAsia" w:ascii="方正仿宋_GBK" w:hAnsi="方正仿宋_GBK" w:eastAsia="方正仿宋_GBK" w:cs="方正仿宋_GBK"/>
          <w:color w:val="auto"/>
          <w:sz w:val="32"/>
          <w:szCs w:val="32"/>
          <w:lang w:eastAsia="zh-CN"/>
        </w:rPr>
        <w:t>重庆农畜产品交易所股份有限公司</w:t>
      </w:r>
      <w:r>
        <w:rPr>
          <w:rFonts w:hint="eastAsia" w:hAnsi="方正仿宋_GBK" w:eastAsia="方正仿宋_GBK" w:cs="方正仿宋_GBK"/>
          <w:color w:val="auto"/>
          <w:sz w:val="32"/>
          <w:szCs w:val="32"/>
          <w:lang w:val="en-US" w:eastAsia="zh-CN" w:bidi="ar"/>
        </w:rPr>
        <w:t>补充医疗保险项目</w:t>
      </w:r>
      <w:r>
        <w:rPr>
          <w:rFonts w:hint="eastAsia" w:ascii="方正仿宋_GBK" w:hAnsi="方正仿宋_GBK" w:eastAsia="方正仿宋_GBK" w:cs="方正仿宋_GBK"/>
          <w:color w:val="auto"/>
          <w:sz w:val="32"/>
          <w:szCs w:val="32"/>
        </w:rPr>
        <w:t>中声明，我司成立至今具有良好的商业信誉，经营活动中没有重大违法记录，未被列入失信被执行人名单、企业经营异常名录、政府采购严重违法失信行为记录名单，未有重大税收违法行为。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特此申明！</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响应人</w:t>
      </w:r>
      <w:r>
        <w:rPr>
          <w:rFonts w:hint="eastAsia" w:ascii="方正仿宋_GBK" w:hAnsi="方正仿宋_GBK" w:eastAsia="方正仿宋_GBK" w:cs="方正仿宋_GBK"/>
          <w:color w:val="auto"/>
          <w:sz w:val="32"/>
          <w:szCs w:val="32"/>
        </w:rPr>
        <w:t>（公章）：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授权代表（签字或盖章）：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日期：</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后附：信用中国”（www.creditchina.gov.cn）、中国政府采购网（www.ccgp.gov.cn）、国家企业信用信息公示系统（www.gsxt.gov.cn）截图</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color w:val="auto"/>
          <w:sz w:val="32"/>
          <w:szCs w:val="32"/>
          <w:lang w:val="en-US" w:eastAsia="zh-CN"/>
        </w:rPr>
      </w:pPr>
      <w:bookmarkStart w:id="337" w:name="_Toc31089"/>
      <w:bookmarkStart w:id="338" w:name="_Toc32118"/>
      <w:bookmarkStart w:id="339" w:name="_Toc9106"/>
      <w:bookmarkStart w:id="340" w:name="_Toc9898"/>
      <w:bookmarkStart w:id="341" w:name="_Toc21781"/>
      <w:bookmarkStart w:id="342" w:name="_Toc18511"/>
      <w:bookmarkStart w:id="343" w:name="_Toc20031"/>
      <w:bookmarkStart w:id="344" w:name="_Toc12284"/>
      <w:bookmarkStart w:id="345" w:name="_Toc3917"/>
      <w:bookmarkStart w:id="346" w:name="_Toc23011"/>
      <w:bookmarkStart w:id="347" w:name="_Toc4011"/>
      <w:bookmarkStart w:id="348" w:name="_Toc4632"/>
      <w:bookmarkStart w:id="349" w:name="_Toc2598"/>
      <w:bookmarkStart w:id="350" w:name="_Toc1033"/>
    </w:p>
    <w:p>
      <w:pPr>
        <w:pStyle w:val="2"/>
        <w:rPr>
          <w:rFonts w:hint="eastAsia" w:ascii="方正仿宋_GBK" w:hAnsi="方正仿宋_GBK" w:eastAsia="方正仿宋_GBK" w:cs="方正仿宋_GBK"/>
          <w:color w:val="auto"/>
          <w:sz w:val="32"/>
          <w:szCs w:val="32"/>
          <w:lang w:val="en-US" w:eastAsia="zh-CN"/>
        </w:rPr>
      </w:pPr>
    </w:p>
    <w:p>
      <w:pPr>
        <w:rPr>
          <w:rFonts w:hint="eastAsia" w:ascii="方正仿宋_GBK" w:hAnsi="方正仿宋_GBK" w:eastAsia="方正仿宋_GBK" w:cs="方正仿宋_GBK"/>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4.4其他资质证明文件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sectPr>
          <w:pgSz w:w="11906" w:h="16838"/>
          <w:pgMar w:top="1440" w:right="1740" w:bottom="1440" w:left="1797" w:header="964" w:footer="992" w:gutter="0"/>
          <w:pgBorders>
            <w:top w:val="none" w:color="auto" w:sz="0" w:space="0"/>
            <w:left w:val="none" w:color="auto" w:sz="0" w:space="0"/>
            <w:bottom w:val="none" w:color="auto" w:sz="0" w:space="0"/>
            <w:right w:val="none" w:color="auto" w:sz="0" w:space="0"/>
          </w:pgBorders>
          <w:pgNumType w:fmt="decimal"/>
          <w:cols w:space="720" w:num="1"/>
          <w:docGrid w:type="lines" w:linePitch="312" w:charSpace="0"/>
        </w:sectPr>
      </w:pPr>
      <w:bookmarkStart w:id="351" w:name="_Toc26531"/>
      <w:r>
        <w:rPr>
          <w:rFonts w:hint="eastAsia" w:ascii="方正仿宋_GBK" w:hAnsi="方正仿宋_GBK" w:eastAsia="方正仿宋_GBK" w:cs="方正仿宋_GBK"/>
          <w:color w:val="auto"/>
          <w:sz w:val="32"/>
          <w:szCs w:val="32"/>
          <w:lang w:val="en-US" w:eastAsia="zh-CN"/>
        </w:rPr>
        <w:t>其他资质证明文件。本</w:t>
      </w:r>
      <w:r>
        <w:rPr>
          <w:rFonts w:hint="eastAsia" w:ascii="方正仿宋_GBK" w:hAnsi="方正仿宋_GBK" w:eastAsia="方正仿宋_GBK" w:cs="方正仿宋_GBK"/>
          <w:color w:val="auto"/>
          <w:sz w:val="32"/>
          <w:szCs w:val="36"/>
          <w:lang w:val="en-US" w:eastAsia="zh-CN"/>
        </w:rPr>
        <w:t>磋商</w:t>
      </w:r>
      <w:r>
        <w:rPr>
          <w:rFonts w:hint="eastAsia" w:ascii="方正仿宋_GBK" w:hAnsi="方正仿宋_GBK" w:eastAsia="方正仿宋_GBK" w:cs="方正仿宋_GBK"/>
          <w:color w:val="auto"/>
          <w:sz w:val="32"/>
          <w:szCs w:val="32"/>
          <w:lang w:val="en-US" w:eastAsia="zh-CN"/>
        </w:rPr>
        <w:t>文件规定资质证明文件模板的，响应人须按规定模板进行提供；</w:t>
      </w:r>
      <w:r>
        <w:rPr>
          <w:rFonts w:hint="eastAsia" w:ascii="方正仿宋_GBK" w:hAnsi="方正仿宋_GBK" w:eastAsia="方正仿宋_GBK" w:cs="方正仿宋_GBK"/>
          <w:b w:val="0"/>
          <w:bCs w:val="0"/>
          <w:color w:val="auto"/>
          <w:sz w:val="32"/>
          <w:szCs w:val="32"/>
          <w:lang w:val="en-US" w:eastAsia="zh-CN"/>
        </w:rPr>
        <w:t>未规定</w:t>
      </w:r>
      <w:r>
        <w:rPr>
          <w:rFonts w:hint="eastAsia" w:ascii="方正仿宋_GBK" w:hAnsi="方正仿宋_GBK" w:eastAsia="方正仿宋_GBK" w:cs="方正仿宋_GBK"/>
          <w:color w:val="auto"/>
          <w:sz w:val="32"/>
          <w:szCs w:val="32"/>
          <w:lang w:val="en-US" w:eastAsia="zh-CN"/>
        </w:rPr>
        <w:t>资质证明文件</w:t>
      </w:r>
      <w:r>
        <w:rPr>
          <w:rFonts w:hint="eastAsia" w:ascii="方正仿宋_GBK" w:hAnsi="方正仿宋_GBK" w:eastAsia="方正仿宋_GBK" w:cs="方正仿宋_GBK"/>
          <w:b w:val="0"/>
          <w:bCs w:val="0"/>
          <w:color w:val="auto"/>
          <w:sz w:val="32"/>
          <w:szCs w:val="32"/>
          <w:lang w:val="en-US" w:eastAsia="zh-CN"/>
        </w:rPr>
        <w:t>模板的，请响应人自行拟定并提供。</w:t>
      </w:r>
      <w:bookmarkEnd w:id="351"/>
      <w:bookmarkStart w:id="352" w:name="_Toc257"/>
      <w:bookmarkStart w:id="353" w:name="_Toc28710"/>
      <w:bookmarkStart w:id="354" w:name="_Toc28873"/>
      <w:bookmarkStart w:id="355" w:name="_Toc21306"/>
    </w:p>
    <w:p>
      <w:pPr>
        <w:pStyle w:val="4"/>
        <w:keepNext w:val="0"/>
        <w:keepLines w:val="0"/>
        <w:pageBreakBefore w:val="0"/>
        <w:numPr>
          <w:ilvl w:val="0"/>
          <w:numId w:val="0"/>
        </w:numPr>
        <w:tabs>
          <w:tab w:val="left" w:pos="420"/>
          <w:tab w:val="clear" w:pos="851"/>
        </w:tabs>
        <w:kinsoku/>
        <w:wordWrap/>
        <w:overflowPunct/>
        <w:topLinePunct w:val="0"/>
        <w:autoSpaceDE/>
        <w:autoSpaceDN/>
        <w:bidi w:val="0"/>
        <w:adjustRightInd/>
        <w:snapToGrid/>
        <w:ind w:left="0" w:leftChars="0" w:right="0" w:rightChars="0"/>
        <w:jc w:val="both"/>
        <w:textAlignment w:val="auto"/>
        <w:rPr>
          <w:rFonts w:hint="eastAsia" w:ascii="方正仿宋_GBK" w:hAnsi="方正仿宋_GBK" w:eastAsia="方正仿宋_GBK" w:cs="方正仿宋_GBK"/>
          <w:b/>
          <w:bCs w:val="0"/>
          <w:color w:val="auto"/>
          <w:highlight w:val="none"/>
          <w:lang w:val="en-US" w:eastAsia="zh-CN"/>
        </w:rPr>
      </w:pPr>
      <w:bookmarkStart w:id="356" w:name="_Toc30171"/>
      <w:r>
        <w:rPr>
          <w:rFonts w:hint="eastAsia" w:ascii="方正仿宋_GBK" w:hAnsi="方正仿宋_GBK" w:eastAsia="方正仿宋_GBK" w:cs="方正仿宋_GBK"/>
          <w:b/>
          <w:bCs w:val="0"/>
          <w:color w:val="auto"/>
          <w:highlight w:val="none"/>
          <w:lang w:val="en-US" w:eastAsia="zh-CN"/>
        </w:rPr>
        <w:t>5实施方案书</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2"/>
      <w:bookmarkEnd w:id="353"/>
      <w:bookmarkEnd w:id="354"/>
      <w:bookmarkEnd w:id="355"/>
      <w:bookmarkEnd w:id="356"/>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jc w:val="both"/>
        <w:textAlignment w:val="auto"/>
        <w:rPr>
          <w:rFonts w:eastAsia="方正仿宋_GBK"/>
          <w:color w:val="auto"/>
          <w:sz w:val="32"/>
          <w:szCs w:val="32"/>
          <w:highlight w:val="none"/>
        </w:rPr>
      </w:pPr>
      <w:r>
        <w:rPr>
          <w:rFonts w:hint="eastAsia" w:hAnsi="方正仿宋_GBK" w:eastAsia="方正仿宋_GBK" w:cs="方正仿宋_GBK"/>
          <w:color w:val="auto"/>
          <w:sz w:val="32"/>
          <w:szCs w:val="32"/>
          <w:highlight w:val="none"/>
          <w:lang w:val="en-US" w:eastAsia="zh-CN" w:bidi="ar"/>
        </w:rPr>
        <w:t xml:space="preserve">  </w:t>
      </w:r>
      <w:r>
        <w:rPr>
          <w:rFonts w:hint="eastAsia" w:hAnsi="方正仿宋_GBK" w:eastAsia="方正仿宋_GBK" w:cs="方正仿宋_GBK"/>
          <w:color w:val="auto"/>
          <w:sz w:val="32"/>
          <w:szCs w:val="32"/>
          <w:highlight w:val="none"/>
          <w:lang w:eastAsia="zh-CN" w:bidi="ar"/>
        </w:rPr>
        <w:t>响应人</w:t>
      </w:r>
      <w:r>
        <w:rPr>
          <w:rFonts w:hint="eastAsia" w:hAnsi="方正仿宋_GBK" w:eastAsia="方正仿宋_GBK" w:cs="方正仿宋_GBK"/>
          <w:color w:val="auto"/>
          <w:sz w:val="32"/>
          <w:szCs w:val="32"/>
          <w:highlight w:val="none"/>
          <w:lang w:bidi="ar"/>
        </w:rPr>
        <w:t>应按照</w:t>
      </w:r>
      <w:r>
        <w:rPr>
          <w:rFonts w:hint="eastAsia" w:hAnsi="方正仿宋_GBK" w:eastAsia="方正仿宋_GBK" w:cs="方正仿宋_GBK"/>
          <w:color w:val="auto"/>
          <w:sz w:val="32"/>
          <w:szCs w:val="32"/>
          <w:highlight w:val="none"/>
          <w:lang w:eastAsia="zh-CN" w:bidi="ar"/>
        </w:rPr>
        <w:t>磋商</w:t>
      </w:r>
      <w:r>
        <w:rPr>
          <w:rFonts w:hint="eastAsia" w:hAnsi="方正仿宋_GBK" w:eastAsia="方正仿宋_GBK" w:cs="方正仿宋_GBK"/>
          <w:color w:val="auto"/>
          <w:sz w:val="32"/>
          <w:szCs w:val="32"/>
          <w:highlight w:val="none"/>
          <w:lang w:bidi="ar"/>
        </w:rPr>
        <w:t>文件要求，根据第三部分《项目需求书》内容作出全面响应。编制和提交的内容应包括但不限于以下各项。对必须满足的内容，必须完全满足。</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jc w:val="both"/>
        <w:textAlignment w:val="auto"/>
        <w:rPr>
          <w:rFonts w:eastAsia="方正仿宋_GBK"/>
          <w:color w:val="auto"/>
          <w:sz w:val="32"/>
          <w:szCs w:val="32"/>
          <w:highlight w:val="none"/>
        </w:rPr>
      </w:pPr>
      <w:r>
        <w:rPr>
          <w:rFonts w:hint="eastAsia" w:hAnsi="方正仿宋_GBK" w:eastAsia="方正仿宋_GBK" w:cs="方正仿宋_GBK"/>
          <w:color w:val="auto"/>
          <w:sz w:val="32"/>
          <w:szCs w:val="32"/>
          <w:highlight w:val="none"/>
          <w:lang w:val="en-US" w:eastAsia="zh-CN" w:bidi="ar"/>
        </w:rPr>
        <w:t xml:space="preserve"> </w:t>
      </w:r>
      <w:r>
        <w:rPr>
          <w:rFonts w:hint="eastAsia" w:hAnsi="方正仿宋_GBK" w:eastAsia="方正仿宋_GBK" w:cs="方正仿宋_GBK"/>
          <w:color w:val="auto"/>
          <w:sz w:val="32"/>
          <w:szCs w:val="32"/>
          <w:highlight w:val="none"/>
          <w:lang w:eastAsia="zh-CN" w:bidi="ar"/>
        </w:rPr>
        <w:t>响应人</w:t>
      </w:r>
      <w:r>
        <w:rPr>
          <w:rFonts w:hint="eastAsia" w:hAnsi="方正仿宋_GBK" w:eastAsia="方正仿宋_GBK" w:cs="方正仿宋_GBK"/>
          <w:color w:val="auto"/>
          <w:sz w:val="32"/>
          <w:szCs w:val="32"/>
          <w:highlight w:val="none"/>
          <w:lang w:bidi="ar"/>
        </w:rPr>
        <w:t>应对第三部分《项目需求书》的要求内容、方式、程序和时间作出详细的方案。方案的内容应包含但不限于第三部分《项目需求书》的要求，作出实质性的响应，</w:t>
      </w:r>
      <w:r>
        <w:rPr>
          <w:rFonts w:hint="eastAsia" w:hAnsi="方正仿宋_GBK" w:eastAsia="方正仿宋_GBK" w:cs="方正仿宋_GBK"/>
          <w:color w:val="auto"/>
          <w:sz w:val="32"/>
          <w:szCs w:val="32"/>
          <w:highlight w:val="none"/>
          <w:lang w:val="en-US" w:eastAsia="zh-CN" w:bidi="ar"/>
        </w:rPr>
        <w:t>且响应文件中的所有内容必须全部履行，</w:t>
      </w:r>
      <w:r>
        <w:rPr>
          <w:rFonts w:hint="eastAsia" w:hAnsi="方正仿宋_GBK" w:eastAsia="方正仿宋_GBK" w:cs="方正仿宋_GBK"/>
          <w:color w:val="auto"/>
          <w:sz w:val="32"/>
          <w:szCs w:val="32"/>
          <w:highlight w:val="none"/>
          <w:lang w:bidi="ar"/>
        </w:rPr>
        <w:t>否则，可能导致废标。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jc w:val="both"/>
        <w:textAlignment w:val="auto"/>
        <w:rPr>
          <w:rFonts w:eastAsia="方正仿宋_GBK"/>
          <w:color w:val="auto"/>
          <w:sz w:val="32"/>
          <w:szCs w:val="32"/>
          <w:highlight w:val="none"/>
        </w:rPr>
      </w:pPr>
      <w:r>
        <w:rPr>
          <w:rFonts w:hint="eastAsia" w:hAnsi="方正仿宋_GBK" w:eastAsia="方正仿宋_GBK" w:cs="方正仿宋_GBK"/>
          <w:color w:val="auto"/>
          <w:sz w:val="32"/>
          <w:szCs w:val="32"/>
          <w:highlight w:val="none"/>
          <w:lang w:val="en-US" w:eastAsia="zh-CN" w:bidi="ar"/>
        </w:rPr>
        <w:t xml:space="preserve"> </w:t>
      </w:r>
      <w:r>
        <w:rPr>
          <w:rFonts w:hint="eastAsia" w:hAnsi="方正仿宋_GBK" w:eastAsia="方正仿宋_GBK" w:cs="方正仿宋_GBK"/>
          <w:color w:val="auto"/>
          <w:sz w:val="32"/>
          <w:szCs w:val="32"/>
          <w:highlight w:val="none"/>
          <w:lang w:eastAsia="zh-CN" w:bidi="ar"/>
        </w:rPr>
        <w:t>响应人</w:t>
      </w:r>
      <w:r>
        <w:rPr>
          <w:rFonts w:hint="eastAsia" w:hAnsi="方正仿宋_GBK" w:eastAsia="方正仿宋_GBK" w:cs="方正仿宋_GBK"/>
          <w:color w:val="auto"/>
          <w:sz w:val="32"/>
          <w:szCs w:val="32"/>
          <w:highlight w:val="none"/>
          <w:lang w:bidi="ar"/>
        </w:rPr>
        <w:t>在对本次</w:t>
      </w:r>
      <w:r>
        <w:rPr>
          <w:rFonts w:hint="eastAsia" w:hAnsi="方正仿宋_GBK" w:eastAsia="方正仿宋_GBK" w:cs="方正仿宋_GBK"/>
          <w:color w:val="auto"/>
          <w:sz w:val="32"/>
          <w:szCs w:val="32"/>
          <w:highlight w:val="none"/>
          <w:u w:val="single"/>
          <w:lang w:bidi="ar"/>
        </w:rPr>
        <w:t>《</w:t>
      </w:r>
      <w:r>
        <w:rPr>
          <w:rFonts w:hint="eastAsia" w:hAnsi="方正仿宋_GBK" w:eastAsia="方正仿宋_GBK" w:cs="方正仿宋_GBK"/>
          <w:color w:val="auto"/>
          <w:sz w:val="32"/>
          <w:szCs w:val="32"/>
          <w:highlight w:val="none"/>
          <w:u w:val="single"/>
          <w:lang w:val="en-US" w:eastAsia="zh-CN" w:bidi="ar"/>
        </w:rPr>
        <w:t>补充医疗保险项目</w:t>
      </w:r>
      <w:r>
        <w:rPr>
          <w:rFonts w:hint="eastAsia" w:hAnsi="方正仿宋_GBK" w:eastAsia="方正仿宋_GBK" w:cs="方正仿宋_GBK"/>
          <w:color w:val="auto"/>
          <w:sz w:val="32"/>
          <w:szCs w:val="32"/>
          <w:highlight w:val="none"/>
          <w:u w:val="single"/>
          <w:lang w:bidi="ar"/>
        </w:rPr>
        <w:t>》</w:t>
      </w:r>
      <w:r>
        <w:rPr>
          <w:rFonts w:hint="eastAsia" w:hAnsi="方正仿宋_GBK" w:eastAsia="方正仿宋_GBK" w:cs="方正仿宋_GBK"/>
          <w:color w:val="auto"/>
          <w:sz w:val="32"/>
          <w:szCs w:val="32"/>
          <w:highlight w:val="none"/>
          <w:lang w:bidi="ar"/>
        </w:rPr>
        <w:t>向</w:t>
      </w:r>
      <w:r>
        <w:rPr>
          <w:rFonts w:hint="eastAsia" w:hAnsi="方正仿宋_GBK" w:eastAsia="方正仿宋_GBK" w:cs="方正仿宋_GBK"/>
          <w:color w:val="auto"/>
          <w:sz w:val="32"/>
          <w:szCs w:val="32"/>
          <w:highlight w:val="none"/>
          <w:lang w:eastAsia="zh-CN" w:bidi="ar"/>
        </w:rPr>
        <w:t>采购方</w:t>
      </w:r>
      <w:r>
        <w:rPr>
          <w:rFonts w:hint="eastAsia" w:hAnsi="方正仿宋_GBK" w:eastAsia="方正仿宋_GBK" w:cs="方正仿宋_GBK"/>
          <w:color w:val="auto"/>
          <w:sz w:val="32"/>
          <w:szCs w:val="32"/>
          <w:highlight w:val="none"/>
          <w:lang w:bidi="ar"/>
        </w:rPr>
        <w:t>提交的</w:t>
      </w:r>
      <w:r>
        <w:rPr>
          <w:rFonts w:hint="eastAsia" w:hAnsi="方正仿宋_GBK" w:eastAsia="方正仿宋_GBK" w:cs="方正仿宋_GBK"/>
          <w:color w:val="auto"/>
          <w:sz w:val="32"/>
          <w:szCs w:val="32"/>
          <w:highlight w:val="none"/>
          <w:lang w:eastAsia="zh-CN" w:bidi="ar"/>
        </w:rPr>
        <w:t>响应文件</w:t>
      </w:r>
      <w:r>
        <w:rPr>
          <w:rFonts w:hint="eastAsia" w:hAnsi="方正仿宋_GBK" w:eastAsia="方正仿宋_GBK" w:cs="方正仿宋_GBK"/>
          <w:color w:val="auto"/>
          <w:sz w:val="32"/>
          <w:szCs w:val="32"/>
          <w:highlight w:val="none"/>
          <w:lang w:bidi="ar"/>
        </w:rPr>
        <w:t>应包括下列部分（但不限于），以便</w:t>
      </w:r>
      <w:r>
        <w:rPr>
          <w:rFonts w:hint="eastAsia" w:hAnsi="方正仿宋_GBK" w:eastAsia="方正仿宋_GBK" w:cs="方正仿宋_GBK"/>
          <w:color w:val="auto"/>
          <w:sz w:val="32"/>
          <w:szCs w:val="32"/>
          <w:highlight w:val="none"/>
          <w:lang w:eastAsia="zh-CN" w:bidi="ar"/>
        </w:rPr>
        <w:t>采购方</w:t>
      </w:r>
      <w:r>
        <w:rPr>
          <w:rFonts w:hint="eastAsia" w:hAnsi="方正仿宋_GBK" w:eastAsia="方正仿宋_GBK" w:cs="方正仿宋_GBK"/>
          <w:color w:val="auto"/>
          <w:sz w:val="32"/>
          <w:szCs w:val="32"/>
          <w:highlight w:val="none"/>
          <w:lang w:bidi="ar"/>
        </w:rPr>
        <w:t>进行审核。</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jc w:val="both"/>
        <w:textAlignment w:val="auto"/>
        <w:rPr>
          <w:rFonts w:eastAsia="方正仿宋_GBK"/>
          <w:color w:val="auto"/>
          <w:sz w:val="32"/>
          <w:szCs w:val="32"/>
          <w:highlight w:val="none"/>
        </w:rPr>
      </w:pPr>
      <w:r>
        <w:rPr>
          <w:rFonts w:hint="eastAsia" w:hAnsi="方正仿宋_GBK" w:eastAsia="方正仿宋_GBK" w:cs="方正仿宋_GBK"/>
          <w:color w:val="auto"/>
          <w:sz w:val="32"/>
          <w:szCs w:val="32"/>
          <w:highlight w:val="none"/>
          <w:lang w:val="en-US" w:eastAsia="zh-CN" w:bidi="ar"/>
        </w:rPr>
        <w:t xml:space="preserve"> </w:t>
      </w:r>
      <w:r>
        <w:rPr>
          <w:rFonts w:hint="eastAsia" w:hAnsi="方正仿宋_GBK" w:eastAsia="方正仿宋_GBK" w:cs="方正仿宋_GBK"/>
          <w:color w:val="auto"/>
          <w:sz w:val="32"/>
          <w:szCs w:val="32"/>
          <w:highlight w:val="none"/>
          <w:lang w:bidi="ar"/>
        </w:rPr>
        <w:t>实施方案书：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20"/>
        <w:jc w:val="both"/>
        <w:textAlignment w:val="auto"/>
        <w:rPr>
          <w:rFonts w:eastAsia="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bidi="ar"/>
        </w:rPr>
        <w:t xml:space="preserve"> </w:t>
      </w:r>
      <w:r>
        <w:rPr>
          <w:rFonts w:hint="eastAsia" w:ascii="方正仿宋_GBK" w:hAnsi="方正仿宋_GBK" w:eastAsia="方正仿宋_GBK" w:cs="方正仿宋_GBK"/>
          <w:color w:val="auto"/>
          <w:sz w:val="32"/>
          <w:szCs w:val="32"/>
          <w:highlight w:val="none"/>
          <w:lang w:bidi="ar"/>
        </w:rPr>
        <w:t>1.</w:t>
      </w:r>
      <w:r>
        <w:rPr>
          <w:rFonts w:hint="eastAsia" w:hAnsi="方正仿宋_GBK" w:eastAsia="方正仿宋_GBK" w:cs="方正仿宋_GBK"/>
          <w:color w:val="auto"/>
          <w:sz w:val="32"/>
          <w:szCs w:val="32"/>
          <w:highlight w:val="none"/>
          <w:lang w:bidi="ar"/>
        </w:rPr>
        <w:t>对本次项目需求的理解（包括</w:t>
      </w:r>
      <w:r>
        <w:rPr>
          <w:rFonts w:hint="eastAsia" w:hAnsi="方正仿宋_GBK" w:eastAsia="方正仿宋_GBK" w:cs="方正仿宋_GBK"/>
          <w:color w:val="auto"/>
          <w:sz w:val="32"/>
          <w:szCs w:val="32"/>
          <w:highlight w:val="none"/>
          <w:lang w:val="en-US" w:eastAsia="zh-CN" w:bidi="ar"/>
        </w:rPr>
        <w:t>险种、保险责任、保险金额、详细责任描述</w:t>
      </w:r>
      <w:r>
        <w:rPr>
          <w:rFonts w:hint="eastAsia" w:hAnsi="方正仿宋_GBK" w:eastAsia="方正仿宋_GBK" w:cs="方正仿宋_GBK"/>
          <w:color w:val="auto"/>
          <w:sz w:val="32"/>
          <w:szCs w:val="32"/>
          <w:highlight w:val="none"/>
          <w:lang w:bidi="ar"/>
        </w:rPr>
        <w:t>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方正仿宋_GBK" w:hAnsi="方正仿宋_GBK" w:eastAsia="方正仿宋_GBK" w:cs="方正仿宋_GBK"/>
          <w:color w:val="auto"/>
          <w:sz w:val="32"/>
          <w:szCs w:val="32"/>
          <w:highlight w:val="none"/>
          <w:lang w:val="en-US" w:bidi="ar"/>
        </w:rPr>
      </w:pPr>
      <w:r>
        <w:rPr>
          <w:rFonts w:hint="eastAsia" w:ascii="方正仿宋_GBK" w:hAnsi="方正仿宋_GBK" w:eastAsia="方正仿宋_GBK" w:cs="方正仿宋_GBK"/>
          <w:color w:val="auto"/>
          <w:sz w:val="32"/>
          <w:szCs w:val="32"/>
          <w:highlight w:val="none"/>
          <w:lang w:val="en-US" w:bidi="ar"/>
        </w:rPr>
        <w:t>2.项目</w:t>
      </w:r>
      <w:r>
        <w:rPr>
          <w:rFonts w:hint="eastAsia" w:ascii="方正仿宋_GBK" w:hAnsi="方正仿宋_GBK" w:eastAsia="方正仿宋_GBK" w:cs="方正仿宋_GBK"/>
          <w:color w:val="auto"/>
          <w:sz w:val="32"/>
          <w:szCs w:val="32"/>
          <w:highlight w:val="none"/>
          <w:lang w:val="en-US" w:eastAsia="zh-CN" w:bidi="ar"/>
        </w:rPr>
        <w:t>服务方案</w:t>
      </w:r>
      <w:r>
        <w:rPr>
          <w:rFonts w:hint="eastAsia" w:ascii="方正仿宋_GBK" w:hAnsi="方正仿宋_GBK" w:eastAsia="方正仿宋_GBK" w:cs="方正仿宋_GBK"/>
          <w:color w:val="auto"/>
          <w:sz w:val="32"/>
          <w:szCs w:val="32"/>
          <w:highlight w:val="none"/>
          <w:lang w:val="en-US" w:bidi="ar"/>
        </w:rPr>
        <w:t>等。</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jc w:val="both"/>
        <w:textAlignment w:val="auto"/>
        <w:rPr>
          <w:rFonts w:hAnsi="方正仿宋_GBK" w:eastAsia="方正仿宋_GBK" w:cs="方正仿宋_GBK"/>
          <w:color w:val="auto"/>
          <w:sz w:val="32"/>
          <w:szCs w:val="32"/>
          <w:highlight w:val="none"/>
          <w:lang w:bidi="ar"/>
        </w:rPr>
      </w:pPr>
      <w:r>
        <w:rPr>
          <w:rFonts w:hint="eastAsia" w:ascii="方正仿宋_GBK" w:hAnsi="方正仿宋_GBK" w:eastAsia="方正仿宋_GBK" w:cs="方正仿宋_GBK"/>
          <w:color w:val="auto"/>
          <w:sz w:val="32"/>
          <w:szCs w:val="32"/>
          <w:highlight w:val="none"/>
          <w:lang w:val="en-US" w:eastAsia="zh-CN" w:bidi="ar"/>
        </w:rPr>
        <w:t xml:space="preserve">    3</w:t>
      </w:r>
      <w:r>
        <w:rPr>
          <w:rFonts w:hint="eastAsia" w:ascii="方正仿宋_GBK" w:hAnsi="方正仿宋_GBK" w:eastAsia="方正仿宋_GBK" w:cs="方正仿宋_GBK"/>
          <w:color w:val="auto"/>
          <w:sz w:val="32"/>
          <w:szCs w:val="32"/>
          <w:highlight w:val="none"/>
          <w:lang w:val="en-US" w:bidi="ar"/>
        </w:rPr>
        <w:t>.其他要求和建议。</w:t>
      </w:r>
    </w:p>
    <w:bookmarkEnd w:id="0"/>
    <w:bookmarkEnd w:id="1"/>
    <w:p>
      <w:pPr>
        <w:jc w:val="left"/>
        <w:rPr>
          <w:rFonts w:hint="eastAsia" w:ascii="方正仿宋_GBK" w:hAnsi="方正仿宋_GBK" w:eastAsia="方正仿宋_GBK" w:cs="方正仿宋_GBK"/>
          <w:color w:val="auto"/>
          <w:sz w:val="32"/>
          <w:szCs w:val="32"/>
          <w:lang w:val="en-US" w:eastAsia="zh-CN" w:bidi="ar"/>
        </w:rPr>
      </w:pPr>
    </w:p>
    <w:sectPr>
      <w:footerReference r:id="rId7"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仿宋">
    <w:altName w:val="仿宋"/>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文鼎PL细上海宋Uni">
    <w:altName w:val="宋体"/>
    <w:panose1 w:val="00000000000000000000"/>
    <w:charset w:val="80"/>
    <w:family w:val="swiss"/>
    <w:pitch w:val="default"/>
    <w:sig w:usb0="00000000" w:usb1="00000000" w:usb2="00000000"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Dialog . plai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modern"/>
    <w:pitch w:val="default"/>
    <w:sig w:usb0="A00002AF" w:usb1="400078FB" w:usb2="00000000" w:usb3="00000000" w:csb0="6000009F" w:csb1="DFD70000"/>
  </w:font>
  <w:font w:name="楷体_GB2312">
    <w:altName w:val="楷体"/>
    <w:panose1 w:val="02010609030101010101"/>
    <w:charset w:val="86"/>
    <w:family w:val="roman"/>
    <w:pitch w:val="default"/>
    <w:sig w:usb0="00000000" w:usb1="00000000" w:usb2="00000000" w:usb3="00000000" w:csb0="00040000" w:csb1="00000000"/>
  </w:font>
  <w:font w:name="幼圆">
    <w:altName w:val="宋体"/>
    <w:panose1 w:val="02010509060101010101"/>
    <w:charset w:val="86"/>
    <w:family w:val="roman"/>
    <w:pitch w:val="default"/>
    <w:sig w:usb0="00000000" w:usb1="00000000" w:usb2="00000000" w:usb3="00000000" w:csb0="00040000" w:csb1="00000000"/>
  </w:font>
  <w:font w:name="Arial Narrow">
    <w:altName w:val="Arial"/>
    <w:panose1 w:val="020B0606020202030204"/>
    <w:charset w:val="00"/>
    <w:family w:val="modern"/>
    <w:pitch w:val="default"/>
    <w:sig w:usb0="00000000"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五">
    <w:altName w:val="黑体"/>
    <w:panose1 w:val="00000000000000000000"/>
    <w:charset w:val="86"/>
    <w:family w:val="auto"/>
    <w:pitch w:val="default"/>
    <w:sig w:usb0="00000000" w:usb1="00000000" w:usb2="00000010" w:usb3="00000000" w:csb0="00040000" w:csb1="00000000"/>
  </w:font>
  <w:font w:name="Garamond">
    <w:altName w:val="PMingLiU-ExtB"/>
    <w:panose1 w:val="02020404030301010803"/>
    <w:charset w:val="00"/>
    <w:family w:val="decorative"/>
    <w:pitch w:val="default"/>
    <w:sig w:usb0="00000000" w:usb1="00000000" w:usb2="00000000" w:usb3="00000000" w:csb0="0000009F" w:csb1="DFD70000"/>
  </w:font>
  <w:font w:name="Angsana New">
    <w:altName w:val="Times New Roman"/>
    <w:panose1 w:val="02020603050405020304"/>
    <w:charset w:val="00"/>
    <w:family w:val="decorative"/>
    <w:pitch w:val="default"/>
    <w:sig w:usb0="00000000" w:usb1="00000000" w:usb2="00000000" w:usb3="00000000" w:csb0="00010001" w:csb1="00000000"/>
  </w:font>
  <w:font w:name="Tms Rmn">
    <w:altName w:val="Segoe Print"/>
    <w:panose1 w:val="02020603040505020304"/>
    <w:charset w:val="00"/>
    <w:family w:val="decorative"/>
    <w:pitch w:val="default"/>
    <w:sig w:usb0="00000000" w:usb1="00000000" w:usb2="00000000" w:usb3="00000000" w:csb0="00000001" w:csb1="00000000"/>
  </w:font>
  <w:font w:name="Verdana">
    <w:panose1 w:val="020B0604030504040204"/>
    <w:charset w:val="00"/>
    <w:family w:val="modern"/>
    <w:pitch w:val="default"/>
    <w:sig w:usb0="A00006FF" w:usb1="4000205B" w:usb2="00000010" w:usb3="00000000" w:csb0="2000019F" w:csb1="00000000"/>
  </w:font>
  <w:font w:name="Bookman Old Style">
    <w:altName w:val="Segoe Print"/>
    <w:panose1 w:val="02050604050505020204"/>
    <w:charset w:val="00"/>
    <w:family w:val="decorative"/>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文鼎小标宋简">
    <w:altName w:val="宋体"/>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Frutiger 45 Light">
    <w:altName w:val="Arial"/>
    <w:panose1 w:val="00000000000000000000"/>
    <w:charset w:val="00"/>
    <w:family w:val="swiss"/>
    <w:pitch w:val="default"/>
    <w:sig w:usb0="00000000" w:usb1="00000000" w:usb2="00000000" w:usb3="00000000" w:csb0="00000001" w:csb1="00000000"/>
  </w:font>
  <w:font w:name="MingLiU">
    <w:altName w:val="PMingLiU-ExtB"/>
    <w:panose1 w:val="02020509000000000000"/>
    <w:charset w:val="88"/>
    <w:family w:val="roman"/>
    <w:pitch w:val="default"/>
    <w:sig w:usb0="00000000" w:usb1="00000000" w:usb2="00000016" w:usb3="00000000" w:csb0="00100001" w:csb1="00000000"/>
  </w:font>
  <w:font w:name="SC STKaiti">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Trebuchet MS">
    <w:panose1 w:val="020B0603020202020204"/>
    <w:charset w:val="00"/>
    <w:family w:val="modern"/>
    <w:pitch w:val="default"/>
    <w:sig w:usb0="00000687" w:usb1="00000000" w:usb2="00000000" w:usb3="00000000" w:csb0="2000009F" w:csb1="00000000"/>
  </w:font>
  <w:font w:name="LF_Kai">
    <w:altName w:val="宋体"/>
    <w:panose1 w:val="00000000000000000000"/>
    <w:charset w:val="86"/>
    <w:family w:val="script"/>
    <w:pitch w:val="default"/>
    <w:sig w:usb0="00000000" w:usb1="00000000" w:usb2="00000010" w:usb3="00000000" w:csb0="00140000" w:csb1="00000000"/>
  </w:font>
  <w:font w:name="昆仑粗隶书">
    <w:altName w:val="黑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decorative"/>
    <w:pitch w:val="default"/>
    <w:sig w:usb0="00000000" w:usb1="00000000" w:usb2="00000016" w:usb3="00000000" w:csb0="00100001" w:csb1="00000000"/>
  </w:font>
  <w:font w:name="昆仑仿宋">
    <w:altName w:val="黑体"/>
    <w:panose1 w:val="00000000000000000000"/>
    <w:charset w:val="86"/>
    <w:family w:val="modern"/>
    <w:pitch w:val="default"/>
    <w:sig w:usb0="00000000" w:usb1="00000000" w:usb2="00000010" w:usb3="00000000" w:csb0="00040000" w:csb1="00000000"/>
  </w:font>
  <w:font w:name="大黑体">
    <w:altName w:val="黑体"/>
    <w:panose1 w:val="00000000000000000000"/>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 w:name="长城粗隶书">
    <w:altName w:val="黑体"/>
    <w:panose1 w:val="00000000000000000000"/>
    <w:charset w:val="86"/>
    <w:family w:val="modern"/>
    <w:pitch w:val="default"/>
    <w:sig w:usb0="00000000" w:usb1="00000000" w:usb2="00000010" w:usb3="00000000" w:csb0="00040000" w:csb1="00000000"/>
  </w:font>
  <w:font w:name="UBSHeadline">
    <w:altName w:val="Times New Roman"/>
    <w:panose1 w:val="00000000000000000000"/>
    <w:charset w:val="00"/>
    <w:family w:val="roman"/>
    <w:pitch w:val="default"/>
    <w:sig w:usb0="00000000" w:usb1="00000000" w:usb2="00000000" w:usb3="00000000" w:csb0="00000193" w:csb1="00000000"/>
  </w:font>
  <w:font w:name="PingFang SC">
    <w:altName w:val="Segoe Print"/>
    <w:panose1 w:val="00000000000000000000"/>
    <w:charset w:val="00"/>
    <w:family w:val="auto"/>
    <w:pitch w:val="default"/>
    <w:sig w:usb0="00000000" w:usb1="00000000" w:usb2="00000000" w:usb3="00000000" w:csb0="00040001" w:csb1="00000000"/>
  </w:font>
  <w:font w:name="_x000B__x000C_">
    <w:altName w:val="Times New Roman"/>
    <w:panose1 w:val="00000000000000000000"/>
    <w:charset w:val="00"/>
    <w:family w:val="decorative"/>
    <w:pitch w:val="default"/>
    <w:sig w:usb0="00000000" w:usb1="00000000" w:usb2="00000000" w:usb3="00000000" w:csb0="00000001" w:csb1="00000000"/>
  </w:font>
  <w:font w:name="Adobe Garamond Pro">
    <w:altName w:val="PMingLiU-ExtB"/>
    <w:panose1 w:val="02020502060506020403"/>
    <w:charset w:val="00"/>
    <w:family w:val="auto"/>
    <w:pitch w:val="default"/>
    <w:sig w:usb0="00000000" w:usb1="00000000" w:usb2="00000000" w:usb3="00000000" w:csb0="20000093" w:csb1="00000000"/>
  </w:font>
  <w:font w:name="Microsoft Sans Serif">
    <w:panose1 w:val="020B0604020202020204"/>
    <w:charset w:val="00"/>
    <w:family w:val="auto"/>
    <w:pitch w:val="default"/>
    <w:sig w:usb0="E5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Symbol">
    <w:panose1 w:val="05050102010706020507"/>
    <w:charset w:val="00"/>
    <w:family w:val="auto"/>
    <w:pitch w:val="default"/>
    <w:sig w:usb0="00000000" w:usb1="00000000" w:usb2="00000000" w:usb3="00000000" w:csb0="8000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书宋_GBK">
    <w:altName w:val="微软雅黑"/>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
    <w:altName w:val="宋体"/>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decorative"/>
    <w:pitch w:val="default"/>
    <w:sig w:usb0="00000000" w:usb1="00000000" w:usb2="00000000" w:usb3="00000000" w:csb0="80000000" w:csb1="00000000"/>
  </w:font>
  <w:font w:name="Segoe UI Symbol">
    <w:panose1 w:val="020B0502040204020203"/>
    <w:charset w:val="00"/>
    <w:family w:val="modern"/>
    <w:pitch w:val="default"/>
    <w:sig w:usb0="800001E3" w:usb1="1200FFEF" w:usb2="00040000" w:usb3="04000000" w:csb0="00000001" w:csb1="40000000"/>
  </w:font>
  <w:font w:name="Helvetica">
    <w:altName w:val="Arial"/>
    <w:panose1 w:val="020B0604020202020204"/>
    <w:charset w:val="00"/>
    <w:family w:val="modern"/>
    <w:pitch w:val="default"/>
    <w:sig w:usb0="00000000" w:usb1="00000000" w:usb2="00000000" w:usb3="00000000" w:csb0="00000001" w:csb1="00000000"/>
  </w:font>
  <w:font w:name="Noto Sans SC Regular">
    <w:altName w:val="Yu Gothic"/>
    <w:panose1 w:val="00000000000000000000"/>
    <w:charset w:val="80"/>
    <w:family w:val="swiss"/>
    <w:pitch w:val="default"/>
    <w:sig w:usb0="00000000" w:usb1="00000000" w:usb2="0017FFDF" w:usb3="00000000" w:csb0="000301FF" w:csb1="00000000"/>
  </w:font>
  <w:font w:name="Microsoft JhengHei UI">
    <w:panose1 w:val="020B0604030504040204"/>
    <w:charset w:val="88"/>
    <w:family w:val="auto"/>
    <w:pitch w:val="default"/>
    <w:sig w:usb0="000002A7" w:usb1="28CF4400" w:usb2="00000016" w:usb3="00000000" w:csb0="00100009" w:csb1="00000000"/>
  </w:font>
  <w:font w:name="Yu Gothic">
    <w:panose1 w:val="020B0400000000000000"/>
    <w:charset w:val="80"/>
    <w:family w:val="auto"/>
    <w:pitch w:val="default"/>
    <w:sig w:usb0="E00002FF" w:usb1="2AC7FDFF" w:usb2="00000016" w:usb3="00000000" w:csb0="2002009F" w:csb1="00000000"/>
  </w:font>
  <w:font w:name="Book Antiqua">
    <w:altName w:val="Segoe Print"/>
    <w:panose1 w:val="02040602050305030304"/>
    <w:charset w:val="00"/>
    <w:family w:val="decorative"/>
    <w:pitch w:val="default"/>
    <w:sig w:usb0="00000000" w:usb1="00000000" w:usb2="00000000" w:usb3="00000000" w:csb0="2000009F" w:csb1="DFD70000"/>
  </w:font>
  <w:font w:name="DLRIFU+ËÎÌå">
    <w:altName w:val="Microsoft Sans Serif"/>
    <w:panose1 w:val="00000000000000000000"/>
    <w:charset w:val="01"/>
    <w:family w:val="auto"/>
    <w:pitch w:val="default"/>
    <w:sig w:usb0="00000000" w:usb1="00000000" w:usb2="01010101" w:usb3="01010101" w:csb0="01010101" w:csb1="01010101"/>
  </w:font>
  <w:font w:name="LJETLA+ËÎÌå">
    <w:altName w:val="Microsoft Sans Serif"/>
    <w:panose1 w:val="00000000000000000000"/>
    <w:charset w:val="01"/>
    <w:family w:val="auto"/>
    <w:pitch w:val="default"/>
    <w:sig w:usb0="00000000" w:usb1="00000000" w:usb2="01010101" w:usb3="01010101" w:csb0="01010101" w:csb1="01010101"/>
  </w:font>
  <w:font w:name="Microsoft Sans Serif">
    <w:panose1 w:val="020B0604020202020204"/>
    <w:charset w:val="01"/>
    <w:family w:val="auto"/>
    <w:pitch w:val="default"/>
    <w:sig w:usb0="E5002EFF" w:usb1="C000605B" w:usb2="00000029" w:usb3="00000000" w:csb0="200101FF" w:csb1="20280000"/>
  </w:font>
  <w:font w:name="lucida Grande">
    <w:altName w:val="Segoe Print"/>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modern"/>
    <w:pitch w:val="default"/>
    <w:sig w:usb0="00000000" w:usb1="00000000" w:usb2="00000000" w:usb3="00000000" w:csb0="20000001" w:csb1="00000000"/>
  </w:font>
  <w:font w:name="文鼎粗黑">
    <w:altName w:val="黑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华文新魏">
    <w:altName w:val="宋体"/>
    <w:panose1 w:val="02010800040101010101"/>
    <w:charset w:val="86"/>
    <w:family w:val="auto"/>
    <w:pitch w:val="default"/>
    <w:sig w:usb0="00000000" w:usb1="00000000" w:usb2="00000000" w:usb3="00000000" w:csb0="00040000" w:csb1="00000000"/>
  </w:font>
  <w:font w:name="★懐流体">
    <w:altName w:val="MS UI Gothic"/>
    <w:panose1 w:val="02000600000000000000"/>
    <w:charset w:val="80"/>
    <w:family w:val="auto"/>
    <w:pitch w:val="default"/>
    <w:sig w:usb0="00000000" w:usb1="00000000" w:usb2="00000010" w:usb3="00000000" w:csb0="4002009F" w:csb1="DFD70000"/>
  </w:font>
  <w:font w:name="Microsoft JhengHei">
    <w:panose1 w:val="020B0604030504040204"/>
    <w:charset w:val="88"/>
    <w:family w:val="auto"/>
    <w:pitch w:val="default"/>
    <w:sig w:usb0="000002A7" w:usb1="28CF4400" w:usb2="00000016" w:usb3="00000000" w:csb0="00100009" w:csb1="00000000"/>
  </w:font>
  <w:font w:name="Kozuka Gothic Pr6N R">
    <w:altName w:val="Yu Gothic UI Semilight"/>
    <w:panose1 w:val="020B0400000000000000"/>
    <w:charset w:val="80"/>
    <w:family w:val="auto"/>
    <w:pitch w:val="default"/>
    <w:sig w:usb0="00000000" w:usb1="00000000" w:usb2="00000012" w:usb3="00000000" w:csb0="2002009F" w:csb1="00000000"/>
  </w:font>
  <w:font w:name="方正宋黑简体">
    <w:altName w:val="宋体"/>
    <w:panose1 w:val="03000509000000000000"/>
    <w:charset w:val="86"/>
    <w:family w:val="auto"/>
    <w:pitch w:val="default"/>
    <w:sig w:usb0="00000000" w:usb1="00000000" w:usb2="00000000" w:usb3="00000000" w:csb0="00040000" w:csb1="00000000"/>
  </w:font>
  <w:font w:name="AMGDT">
    <w:altName w:val="Segoe UI Semilight"/>
    <w:panose1 w:val="02000400000000000000"/>
    <w:charset w:val="00"/>
    <w:family w:val="auto"/>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0" w:csb1="00000000"/>
  </w:font>
  <w:font w:name="Eras Light ITC">
    <w:altName w:val="Yu Gothic UI Semilight"/>
    <w:panose1 w:val="020B0402030504020804"/>
    <w:charset w:val="00"/>
    <w:family w:val="auto"/>
    <w:pitch w:val="default"/>
    <w:sig w:usb0="00000000" w:usb1="00000000" w:usb2="00000000" w:usb3="00000000" w:csb0="20000001" w:csb1="00000000"/>
  </w:font>
  <w:font w:name="全真中明體">
    <w:altName w:val="PMingLiU-ExtB"/>
    <w:panose1 w:val="02010609000001010101"/>
    <w:charset w:val="88"/>
    <w:family w:val="modern"/>
    <w:pitch w:val="default"/>
    <w:sig w:usb0="00000000" w:usb1="00000000" w:usb2="00000010" w:usb3="00000000" w:csb0="00100000" w:csb1="00000000"/>
  </w:font>
  <w:font w:name="..">
    <w:altName w:val="宋体"/>
    <w:panose1 w:val="00000000000000000000"/>
    <w:charset w:val="86"/>
    <w:family w:val="auto"/>
    <w:pitch w:val="default"/>
    <w:sig w:usb0="00000000" w:usb1="00000000" w:usb2="00000010" w:usb3="00000000" w:csb0="00040000" w:csb1="00000000"/>
  </w:font>
  <w:font w:name="FZFSK--GBK1-0">
    <w:altName w:val="Times New Roman"/>
    <w:panose1 w:val="00000000000000000000"/>
    <w:charset w:val="00"/>
    <w:family w:val="swiss"/>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Swis721 Lt BT">
    <w:altName w:val="Yu Gothic UI Semilight"/>
    <w:panose1 w:val="020B0403020202020204"/>
    <w:charset w:val="00"/>
    <w:family w:val="auto"/>
    <w:pitch w:val="default"/>
    <w:sig w:usb0="00000000" w:usb1="00000000" w:usb2="00000000" w:usb3="00000000" w:csb0="00000011" w:csb1="00000000"/>
  </w:font>
  <w:font w:name="Kozuka Gothic Pro R">
    <w:altName w:val="Yu Gothic UI Semilight"/>
    <w:panose1 w:val="020B0400000000000000"/>
    <w:charset w:val="80"/>
    <w:family w:val="auto"/>
    <w:pitch w:val="default"/>
    <w:sig w:usb0="00000000" w:usb1="00000000" w:usb2="00000012" w:usb3="00000000" w:csb0="20020005" w:csb1="00000000"/>
  </w:font>
  <w:font w:name="Futura Bk">
    <w:altName w:val="Times New Roman"/>
    <w:panose1 w:val="00000000000000000000"/>
    <w:charset w:val="00"/>
    <w:family w:val="auto"/>
    <w:pitch w:val="default"/>
    <w:sig w:usb0="00000000" w:usb1="00000000" w:usb2="00000000" w:usb3="00000000" w:csb0="000001FB" w:csb1="00000000"/>
  </w:font>
  <w:font w:name="Vrinda">
    <w:altName w:val="Segoe UI Symbol"/>
    <w:panose1 w:val="020B0502040204020203"/>
    <w:charset w:val="01"/>
    <w:family w:val="roma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超粗黑简体">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MS Mincho">
    <w:altName w:val="Yu Gothic UI"/>
    <w:panose1 w:val="02020609040205080304"/>
    <w:charset w:val="80"/>
    <w:family w:val="auto"/>
    <w:pitch w:val="default"/>
    <w:sig w:usb0="00000000" w:usb1="00000000" w:usb2="00000012" w:usb3="00000000" w:csb0="4002009F" w:csb1="DFD70000"/>
  </w:font>
  <w:font w:name="Meiryo UI">
    <w:altName w:val="Yu Gothic UI"/>
    <w:panose1 w:val="020B0604030504040204"/>
    <w:charset w:val="80"/>
    <w:family w:val="auto"/>
    <w:pitch w:val="default"/>
    <w:sig w:usb0="00000000" w:usb1="00000000" w:usb2="00010012" w:usb3="00000000" w:csb0="6002009F" w:csb1="DFD70000"/>
  </w:font>
  <w:font w:name="MS UI Gothic">
    <w:panose1 w:val="020B0600070205080204"/>
    <w:charset w:val="80"/>
    <w:family w:val="auto"/>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Yu Gothic UI Semilight">
    <w:panose1 w:val="020B0400000000000000"/>
    <w:charset w:val="80"/>
    <w:family w:val="auto"/>
    <w:pitch w:val="default"/>
    <w:sig w:usb0="E00002FF" w:usb1="2AC7FDFF" w:usb2="00000016" w:usb3="00000000" w:csb0="2002009F" w:csb1="0000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 w:name="Times">
    <w:altName w:val="Times New Roman"/>
    <w:panose1 w:val="02020603060405020304"/>
    <w:charset w:val="00"/>
    <w:family w:val="roman"/>
    <w:pitch w:val="default"/>
    <w:sig w:usb0="00000000" w:usb1="00000000" w:usb2="00000000" w:usb3="00000000" w:csb0="00000093" w:csb1="00000000"/>
  </w:font>
  <w:font w:name="Sitka Banner">
    <w:panose1 w:val="02000505000000020004"/>
    <w:charset w:val="00"/>
    <w:family w:val="auto"/>
    <w:pitch w:val="default"/>
    <w:sig w:usb0="A00002EF" w:usb1="4000204B" w:usb2="00000000" w:usb3="00000000" w:csb0="2000019F" w:csb1="00000000"/>
  </w:font>
  <w:font w:name="cicons">
    <w:altName w:val="Segoe Print"/>
    <w:panose1 w:val="00000000000000000000"/>
    <w:charset w:val="00"/>
    <w:family w:val="auto"/>
    <w:pitch w:val="default"/>
    <w:sig w:usb0="00000000" w:usb1="00000000" w:usb2="00000000" w:usb3="00000000" w:csb0="00000000" w:csb1="00000000"/>
  </w:font>
  <w:font w:name="cIconfont">
    <w:altName w:val="Segoe Print"/>
    <w:panose1 w:val="00000000000000000000"/>
    <w:charset w:val="00"/>
    <w:family w:val="auto"/>
    <w:pitch w:val="default"/>
    <w:sig w:usb0="00000000" w:usb1="00000000" w:usb2="00000000" w:usb3="00000000" w:csb0="00000000" w:csb1="00000000"/>
  </w:font>
  <w:font w:name="DINPro">
    <w:altName w:val="Segoe Print"/>
    <w:panose1 w:val="00000000000000000000"/>
    <w:charset w:val="00"/>
    <w:family w:val="auto"/>
    <w:pitch w:val="default"/>
    <w:sig w:usb0="00000000" w:usb1="00000000" w:usb2="00000000" w:usb3="00000000" w:csb0="00000000" w:csb1="00000000"/>
  </w:font>
  <w:font w:name="ecomicons">
    <w:altName w:val="Segoe Print"/>
    <w:panose1 w:val="00000000000000000000"/>
    <w:charset w:val="00"/>
    <w:family w:val="auto"/>
    <w:pitch w:val="default"/>
    <w:sig w:usb0="00000000" w:usb1="00000000" w:usb2="00000000" w:usb3="00000000" w:csb0="00000000" w:csb1="00000000"/>
  </w:font>
  <w:font w:name="_65b9_6b63_4eff_5b8b_GBK">
    <w:altName w:val="Segoe Print"/>
    <w:panose1 w:val="00000000000000000000"/>
    <w:charset w:val="00"/>
    <w:family w:val="auto"/>
    <w:pitch w:val="default"/>
    <w:sig w:usb0="00000000" w:usb1="00000000" w:usb2="00000000" w:usb3="00000000" w:csb0="00040001" w:csb1="00000000"/>
  </w:font>
  <w:font w:name="Swis721 LtEx BT">
    <w:altName w:val="Sitka Text"/>
    <w:panose1 w:val="020B0505020202020204"/>
    <w:charset w:val="00"/>
    <w:family w:val="auto"/>
    <w:pitch w:val="default"/>
    <w:sig w:usb0="00000000" w:usb1="00000000" w:usb2="00000000" w:usb3="00000000" w:csb0="00000011" w:csb1="00000000"/>
  </w:font>
  <w:font w:name="Sitka Text">
    <w:panose1 w:val="02000505000000020004"/>
    <w:charset w:val="00"/>
    <w:family w:val="auto"/>
    <w:pitch w:val="default"/>
    <w:sig w:usb0="A00002EF" w:usb1="4000204B" w:usb2="00000000" w:usb3="00000000" w:csb0="2000019F" w:csb1="00000000"/>
  </w:font>
  <w:font w:name="DejaVu Sans">
    <w:altName w:val="Segoe Print"/>
    <w:panose1 w:val="020B0603030804020204"/>
    <w:charset w:val="00"/>
    <w:family w:val="swiss"/>
    <w:pitch w:val="default"/>
    <w:sig w:usb0="00000000" w:usb1="00000000" w:usb2="0A246029" w:usb3="0400200C" w:csb0="600001FF" w:csb1="DFFF0000"/>
  </w:font>
  <w:font w:name="苹方-简">
    <w:altName w:val="宋体"/>
    <w:panose1 w:val="020B0400000000000000"/>
    <w:charset w:val="86"/>
    <w:family w:val="auto"/>
    <w:pitch w:val="default"/>
    <w:sig w:usb0="00000000" w:usb1="00000000" w:usb2="00000017" w:usb3="00000000" w:csb0="00040001" w:csb1="00000000"/>
  </w:font>
  <w:font w:name="汉仪中等线KW">
    <w:altName w:val="宋体"/>
    <w:panose1 w:val="01010104010101010101"/>
    <w:charset w:val="86"/>
    <w:family w:val="auto"/>
    <w:pitch w:val="default"/>
    <w:sig w:usb0="00000000" w:usb1="00000000" w:usb2="00000000" w:usb3="00000000" w:csb0="00040001" w:csb1="00000000"/>
  </w:font>
  <w:font w:name="冬青黑体简体中文">
    <w:altName w:val="黑体"/>
    <w:panose1 w:val="020B0600000000000000"/>
    <w:charset w:val="86"/>
    <w:family w:val="auto"/>
    <w:pitch w:val="default"/>
    <w:sig w:usb0="00000000" w:usb1="00000000" w:usb2="00000016" w:usb3="00000000" w:csb0="00060007" w:csb1="00000000"/>
  </w:font>
  <w:font w:name="PingFangHK">
    <w:altName w:val="Segoe Print"/>
    <w:panose1 w:val="00000000000000000000"/>
    <w:charset w:val="00"/>
    <w:family w:val="auto"/>
    <w:pitch w:val="default"/>
    <w:sig w:usb0="00000000" w:usb1="00000000" w:usb2="00000000" w:usb3="00000000" w:csb0="00000000" w:csb1="00000000"/>
  </w:font>
  <w:font w:name="宋体-简">
    <w:altName w:val="宋体"/>
    <w:panose1 w:val="02010800040101010101"/>
    <w:charset w:val="86"/>
    <w:family w:val="auto"/>
    <w:pitch w:val="default"/>
    <w:sig w:usb0="00000000" w:usb1="00000000" w:usb2="00000000" w:usb3="00000000" w:csb0="00040000" w:csb1="00000000"/>
  </w:font>
  <w:font w:name="Apple Chancery">
    <w:altName w:val="Courier New"/>
    <w:panose1 w:val="03020702040506060504"/>
    <w:charset w:val="00"/>
    <w:family w:val="auto"/>
    <w:pitch w:val="default"/>
    <w:sig w:usb0="00000000" w:usb1="00000000" w:usb2="00000000" w:usb3="00000000" w:csb0="200001F3" w:csb1="CDFC0000"/>
  </w:font>
  <w:font w:name="Bookshelf Symbol 7">
    <w:altName w:val="Symbol"/>
    <w:panose1 w:val="05010101010101010101"/>
    <w:charset w:val="00"/>
    <w:family w:val="auto"/>
    <w:pitch w:val="default"/>
    <w:sig w:usb0="00000000" w:usb1="00000000" w:usb2="00000000" w:usb3="00000000" w:csb0="80000000" w:csb1="00000000"/>
  </w:font>
  <w:font w:name="汉仪楷体简">
    <w:altName w:val="宋体"/>
    <w:panose1 w:val="02010600000101010101"/>
    <w:charset w:val="86"/>
    <w:family w:val="auto"/>
    <w:pitch w:val="default"/>
    <w:sig w:usb0="00000000" w:usb1="00000000" w:usb2="00000002"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Heiti SC Light">
    <w:altName w:val="Malgun Gothic Semilight"/>
    <w:panose1 w:val="02000000000000000000"/>
    <w:charset w:val="80"/>
    <w:family w:val="auto"/>
    <w:pitch w:val="default"/>
    <w:sig w:usb0="00000000" w:usb1="00000000" w:usb2="00000000" w:usb3="00000000" w:csb0="203E0000" w:csb1="00000000"/>
  </w:font>
  <w:font w:name="黑体-简">
    <w:altName w:val="黑体"/>
    <w:panose1 w:val="02000000000000000000"/>
    <w:charset w:val="86"/>
    <w:family w:val="auto"/>
    <w:pitch w:val="default"/>
    <w:sig w:usb0="00000000" w:usb1="00000000" w:usb2="00000000" w:usb3="00000000" w:csb0="203E0000" w:csb1="00000000"/>
  </w:font>
  <w:font w:name="楷体_GB2312">
    <w:altName w:val="楷体"/>
    <w:panose1 w:val="00000000000000000000"/>
    <w:charset w:val="00"/>
    <w:family w:val="decorative"/>
    <w:pitch w:val="default"/>
    <w:sig w:usb0="00000000" w:usb1="00000000" w:usb2="00000010" w:usb3="00000000" w:csb0="00040000" w:csb1="00000000"/>
  </w:font>
  <w:font w:name="Traditional Arabic">
    <w:altName w:val="Times New Roman"/>
    <w:panose1 w:val="02020603050405020304"/>
    <w:charset w:val="00"/>
    <w:family w:val="auto"/>
    <w:pitch w:val="default"/>
    <w:sig w:usb0="00000000" w:usb1="00000000" w:usb2="00000008" w:usb3="00000000" w:csb0="00000041" w:csb1="20080000"/>
  </w:font>
  <w:font w:name="Malgun Gothic Semilight">
    <w:panose1 w:val="020B0502040204020203"/>
    <w:charset w:val="86"/>
    <w:family w:val="auto"/>
    <w:pitch w:val="default"/>
    <w:sig w:usb0="900002AF" w:usb1="01D77CFB" w:usb2="00000012" w:usb3="00000000" w:csb0="203E01BD" w:csb1="D7FF0000"/>
  </w:font>
  <w:font w:name="方正仿宋_GB2312">
    <w:altName w:val="仿宋"/>
    <w:panose1 w:val="02000000000000000000"/>
    <w:charset w:val="86"/>
    <w:family w:val="auto"/>
    <w:pitch w:val="default"/>
    <w:sig w:usb0="00000000" w:usb1="00000000" w:usb2="00000012" w:usb3="00000000" w:csb0="00040001" w:csb1="00000000"/>
  </w:font>
  <w:font w:name="兰米楷体">
    <w:altName w:val="宋体"/>
    <w:panose1 w:val="02000503000000000000"/>
    <w:charset w:val="86"/>
    <w:family w:val="auto"/>
    <w:pitch w:val="default"/>
    <w:sig w:usb0="00000000" w:usb1="00000000" w:usb2="00000012" w:usb3="00000000" w:csb0="00040001" w:csb1="00000000"/>
  </w:font>
  <w:font w:name="Century Gothic">
    <w:altName w:val="Yu Gothic UI"/>
    <w:panose1 w:val="020B0502020202020204"/>
    <w:charset w:val="00"/>
    <w:family w:val="roman"/>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汉仪书宋二KW">
    <w:altName w:val="宋体"/>
    <w:panose1 w:val="00020600040101010101"/>
    <w:charset w:val="86"/>
    <w:family w:val="auto"/>
    <w:pitch w:val="default"/>
    <w:sig w:usb0="00000000" w:usb1="00000000" w:usb2="00000016"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Univers">
    <w:altName w:val="Segoe Print"/>
    <w:panose1 w:val="020B0603020202030204"/>
    <w:charset w:val="00"/>
    <w:family w:val="modern"/>
    <w:pitch w:val="default"/>
    <w:sig w:usb0="00000000" w:usb1="00000000" w:usb2="00000000" w:usb3="00000000" w:csb0="0000009F" w:csb1="00000000"/>
  </w:font>
  <w:font w:name="Letter Gothic">
    <w:altName w:val="Segoe Print"/>
    <w:panose1 w:val="020B0409020202030204"/>
    <w:charset w:val="00"/>
    <w:family w:val="roman"/>
    <w:pitch w:val="default"/>
    <w:sig w:usb0="00000000" w:usb1="00000000" w:usb2="00000000" w:usb3="00000000" w:csb0="00000093" w:csb1="00000000"/>
  </w:font>
  <w:font w:name="Univers (WN)">
    <w:altName w:val="Arial"/>
    <w:panose1 w:val="00000000000000000000"/>
    <w:charset w:val="00"/>
    <w:family w:val="modern"/>
    <w:pitch w:val="default"/>
    <w:sig w:usb0="00000000" w:usb1="00000000" w:usb2="00000000" w:usb3="00000000" w:csb0="00000001" w:csb1="00000000"/>
  </w:font>
  <w:font w:name="Arial Bold">
    <w:altName w:val="Arial"/>
    <w:panose1 w:val="00000000000000000000"/>
    <w:charset w:val="00"/>
    <w:family w:val="decorative"/>
    <w:pitch w:val="default"/>
    <w:sig w:usb0="00000000" w:usb1="00000000" w:usb2="00000000" w:usb3="00000000" w:csb0="00000001" w:csb1="00000000"/>
  </w:font>
  <w:font w:name="Palatino">
    <w:altName w:val="Palatino Linotype"/>
    <w:panose1 w:val="02040602050305020304"/>
    <w:charset w:val="00"/>
    <w:family w:val="decorative"/>
    <w:pitch w:val="default"/>
    <w:sig w:usb0="00000000" w:usb1="00000000" w:usb2="00000000" w:usb3="00000000" w:csb0="00000093" w:csb1="00000000"/>
  </w:font>
  <w:font w:name="Batang">
    <w:altName w:val="Malgun Gothic"/>
    <w:panose1 w:val="02030600000101010101"/>
    <w:charset w:val="81"/>
    <w:family w:val="decorative"/>
    <w:pitch w:val="default"/>
    <w:sig w:usb0="00000000" w:usb1="00000000" w:usb2="00000030" w:usb3="00000000" w:csb0="4008009F" w:csb1="DFD70000"/>
  </w:font>
  <w:font w:name="DIN-Regular">
    <w:altName w:val="Sitka Text"/>
    <w:panose1 w:val="020B0500000000000000"/>
    <w:charset w:val="00"/>
    <w:family w:val="modern"/>
    <w:pitch w:val="default"/>
    <w:sig w:usb0="00000000" w:usb1="00000000" w:usb2="00000000" w:usb3="00000000" w:csb0="00000001" w:csb1="00000000"/>
  </w:font>
  <w:font w:name="Futura Bk BT">
    <w:altName w:val="Lucida Sans Unicode"/>
    <w:panose1 w:val="020B0502020204020303"/>
    <w:charset w:val="00"/>
    <w:family w:val="modern"/>
    <w:pitch w:val="default"/>
    <w:sig w:usb0="00000000" w:usb1="00000000" w:usb2="00000000" w:usb3="00000000" w:csb0="0000001B" w:csb1="00000000"/>
  </w:font>
  <w:font w:name="Bodoni MT">
    <w:altName w:val="Segoe Print"/>
    <w:panose1 w:val="02070603080606020203"/>
    <w:charset w:val="00"/>
    <w:family w:val="decorative"/>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FZFSK--GBK1-0">
    <w:altName w:val="宋体"/>
    <w:panose1 w:val="02000000000000000000"/>
    <w:charset w:val="86"/>
    <w:family w:val="swiss"/>
    <w:pitch w:val="default"/>
    <w:sig w:usb0="00000000" w:usb1="00000000" w:usb2="00082016" w:usb3="00000000" w:csb0="00040001" w:csb1="00000000"/>
  </w:font>
  <w:font w:name="PingFang SC">
    <w:altName w:val="宋体"/>
    <w:panose1 w:val="020B0400000000000000"/>
    <w:charset w:val="86"/>
    <w:family w:val="auto"/>
    <w:pitch w:val="default"/>
    <w:sig w:usb0="00000000" w:usb1="00000000" w:usb2="00000017" w:usb3="00000000" w:csb0="00040001" w:csb1="00000000"/>
  </w:font>
  <w:font w:name="汉仪中黑KW">
    <w:altName w:val="黑体"/>
    <w:panose1 w:val="00020600040101010101"/>
    <w:charset w:val="86"/>
    <w:family w:val="auto"/>
    <w:pitch w:val="default"/>
    <w:sig w:usb0="00000000" w:usb1="00000000" w:usb2="00000016"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Hiragino Sans">
    <w:altName w:val="Yu Gothic UI Light"/>
    <w:panose1 w:val="020B0300000000000000"/>
    <w:charset w:val="80"/>
    <w:family w:val="auto"/>
    <w:pitch w:val="default"/>
    <w:sig w:usb0="00000000" w:usb1="00000000" w:usb2="00000012" w:usb3="00000000" w:csb0="0002000D" w:csb1="00000000"/>
  </w:font>
  <w:font w:name="宋体-繁">
    <w:altName w:val="宋体"/>
    <w:panose1 w:val="02010600040101010101"/>
    <w:charset w:val="86"/>
    <w:family w:val="auto"/>
    <w:pitch w:val="default"/>
    <w:sig w:usb0="00000000" w:usb1="00000000" w:usb2="00000000" w:usb3="00000000" w:csb0="0004009F" w:csb1="DFD70000"/>
  </w:font>
  <w:font w:name="汉仪楷体KW">
    <w:altName w:val="宋体"/>
    <w:panose1 w:val="00020600040101010101"/>
    <w:charset w:val="86"/>
    <w:family w:val="auto"/>
    <w:pitch w:val="default"/>
    <w:sig w:usb0="00000000" w:usb1="00000000" w:usb2="00000016" w:usb3="00000000" w:csb0="00040000" w:csb1="00000000"/>
  </w:font>
  <w:font w:name="行楷-简">
    <w:altName w:val="宋体"/>
    <w:panose1 w:val="02010800040101010101"/>
    <w:charset w:val="86"/>
    <w:family w:val="auto"/>
    <w:pitch w:val="default"/>
    <w:sig w:usb0="00000000" w:usb1="00000000" w:usb2="00000000" w:usb3="00000000" w:csb0="00040000" w:csb1="00000000"/>
  </w:font>
  <w:font w:name="报隶-简">
    <w:altName w:val="宋体"/>
    <w:panose1 w:val="02010600040101010101"/>
    <w:charset w:val="86"/>
    <w:family w:val="auto"/>
    <w:pitch w:val="default"/>
    <w:sig w:usb0="00000000" w:usb1="00000000" w:usb2="00000016" w:usb3="00000000" w:csb0="0004001F" w:csb1="00000000"/>
  </w:font>
  <w:font w:name="Segoe UI Emoji">
    <w:panose1 w:val="020B0502040204020203"/>
    <w:charset w:val="00"/>
    <w:family w:val="modern"/>
    <w:pitch w:val="default"/>
    <w:sig w:usb0="00000001" w:usb1="02000000" w:usb2="00000000" w:usb3="00000000" w:csb0="00000001" w:csb1="00000000"/>
  </w:font>
  <w:font w:name="Apple Color Emoji">
    <w:altName w:val="Segoe Print"/>
    <w:panose1 w:val="00000000000000000000"/>
    <w:charset w:val="00"/>
    <w:family w:val="auto"/>
    <w:pitch w:val="default"/>
    <w:sig w:usb0="00000000" w:usb1="00000000" w:usb2="14000000" w:usb3="00000000" w:csb0="00000001" w:csb1="00000000"/>
  </w:font>
  <w:font w:name="Songti SC">
    <w:altName w:val="宋体"/>
    <w:panose1 w:val="02010800040101010101"/>
    <w:charset w:val="86"/>
    <w:family w:val="auto"/>
    <w:pitch w:val="default"/>
    <w:sig w:usb0="00000000" w:usb1="00000000" w:usb2="00000000" w:usb3="00000000" w:csb0="00040000" w:csb1="00000000"/>
  </w:font>
  <w:font w:name="MS Gothic">
    <w:panose1 w:val="020B0609070205080204"/>
    <w:charset w:val="80"/>
    <w:family w:val="roman"/>
    <w:pitch w:val="default"/>
    <w:sig w:usb0="E00002FF" w:usb1="6AC7FDFB" w:usb2="08000012" w:usb3="00000000" w:csb0="4002009F" w:csb1="DFD70000"/>
  </w:font>
  <w:font w:name="Century">
    <w:altName w:val="Times New Roman"/>
    <w:panose1 w:val="02040604050505020304"/>
    <w:charset w:val="00"/>
    <w:family w:val="decorative"/>
    <w:pitch w:val="default"/>
    <w:sig w:usb0="00000000"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apple-system">
    <w:altName w:val="Segoe Print"/>
    <w:panose1 w:val="00000000000000000000"/>
    <w:charset w:val="00"/>
    <w:family w:val="auto"/>
    <w:pitch w:val="default"/>
    <w:sig w:usb0="00000000" w:usb1="00000000" w:usb2="00000000" w:usb3="00000000" w:csb0="00000000" w:csb1="00000000"/>
  </w:font>
  <w:font w:name="儷宋 Pro">
    <w:altName w:val="宋体"/>
    <w:panose1 w:val="02020300000000000000"/>
    <w:charset w:val="88"/>
    <w:family w:val="auto"/>
    <w:pitch w:val="default"/>
    <w:sig w:usb0="00000000" w:usb1="00000000" w:usb2="00000016" w:usb3="00000000" w:csb0="00100000" w:csb1="00000000"/>
  </w:font>
  <w:font w:name="汉仪仿宋KW">
    <w:altName w:val="仿宋"/>
    <w:panose1 w:val="00020600040101010101"/>
    <w:charset w:val="86"/>
    <w:family w:val="auto"/>
    <w:pitch w:val="default"/>
    <w:sig w:usb0="00000000" w:usb1="00000000" w:usb2="00000016"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Lantinghei TC Extralight">
    <w:altName w:val="MingLiU-ExtB"/>
    <w:panose1 w:val="03000509000000000000"/>
    <w:charset w:val="88"/>
    <w:family w:val="auto"/>
    <w:pitch w:val="default"/>
    <w:sig w:usb0="00000000" w:usb1="00000000" w:usb2="00000000" w:usb3="00000000" w:csb0="00100000" w:csb1="00000000"/>
  </w:font>
  <w:font w:name="凌慧体-繁">
    <w:altName w:val="宋体"/>
    <w:panose1 w:val="03050602040302020204"/>
    <w:charset w:val="86"/>
    <w:family w:val="auto"/>
    <w:pitch w:val="default"/>
    <w:sig w:usb0="00000000" w:usb1="00000000" w:usb2="0000001E" w:usb3="00000000" w:csb0="20140183" w:csb1="00000000"/>
  </w:font>
  <w:font w:name="Hannotate TC Regular">
    <w:altName w:val="宋体"/>
    <w:panose1 w:val="03000500000000000000"/>
    <w:charset w:val="86"/>
    <w:family w:val="auto"/>
    <w:pitch w:val="default"/>
    <w:sig w:usb0="00000000" w:usb1="00000000" w:usb2="00000016" w:usb3="00000000" w:csb0="00040001" w:csb1="00000000"/>
  </w:font>
  <w:font w:name="SimSong Regular">
    <w:altName w:val="宋体"/>
    <w:panose1 w:val="02020300000000000000"/>
    <w:charset w:val="86"/>
    <w:family w:val="auto"/>
    <w:pitch w:val="default"/>
    <w:sig w:usb0="00000000" w:usb1="00000000" w:usb2="00000016" w:usb3="00000000" w:csb0="0004000D" w:csb1="00000000"/>
  </w:font>
  <w:font w:name="PMingLiU">
    <w:altName w:val="Trebuchet MS"/>
    <w:panose1 w:val="02010601000101010101"/>
    <w:charset w:val="00"/>
    <w:family w:val="decorative"/>
    <w:pitch w:val="default"/>
    <w:sig w:usb0="00000000" w:usb1="00000000" w:usb2="00000016" w:usb3="00000000" w:csb0="00100001" w:csb1="00000000"/>
  </w:font>
  <w:font w:name="幼圆_GB2312">
    <w:altName w:val="微软雅黑"/>
    <w:panose1 w:val="00000000000000000000"/>
    <w:charset w:val="00"/>
    <w:family w:val="auto"/>
    <w:pitch w:val="default"/>
    <w:sig w:usb0="00000000" w:usb1="00000000" w:usb2="00000010" w:usb3="00000000" w:csb0="00040000" w:csb1="00000000"/>
  </w:font>
  <w:font w:name="彩虹楷体">
    <w:altName w:val="宋体"/>
    <w:panose1 w:val="00000000000000000000"/>
    <w:charset w:val="00"/>
    <w:family w:val="auto"/>
    <w:pitch w:val="default"/>
    <w:sig w:usb0="00000000" w:usb1="00000000" w:usb2="00000010" w:usb3="00000000" w:csb0="00040000" w:csb1="00000000"/>
  </w:font>
  <w:font w:name="Songti SC Regular">
    <w:altName w:val="宋体"/>
    <w:panose1 w:val="02010800040101010101"/>
    <w:charset w:val="86"/>
    <w:family w:val="auto"/>
    <w:pitch w:val="default"/>
    <w:sig w:usb0="00000000" w:usb1="00000000" w:usb2="00000000" w:usb3="00000000" w:csb0="00040000" w:csb1="00000000"/>
  </w:font>
  <w:font w:name="PingFang TC Regular">
    <w:altName w:val="Microsoft JhengHei UI Light"/>
    <w:panose1 w:val="020B0400000000000000"/>
    <w:charset w:val="88"/>
    <w:family w:val="auto"/>
    <w:pitch w:val="default"/>
    <w:sig w:usb0="00000000" w:usb1="00000000" w:usb2="00000017" w:usb3="00000000" w:csb0="00100001" w:csb1="00000000"/>
  </w:font>
  <w:font w:name="长城仿宋">
    <w:altName w:val="仿宋"/>
    <w:panose1 w:val="02010609000101010101"/>
    <w:charset w:val="00"/>
    <w:family w:val="roman"/>
    <w:pitch w:val="default"/>
    <w:sig w:usb0="00000000" w:usb1="00000000" w:usb2="00000010" w:usb3="00000000" w:csb0="00040000" w:csb1="00000000"/>
  </w:font>
  <w:font w:name="方正小标宋简体">
    <w:altName w:val="微软雅黑"/>
    <w:panose1 w:val="02000000000000000000"/>
    <w:charset w:val="00"/>
    <w:family w:val="auto"/>
    <w:pitch w:val="default"/>
    <w:sig w:usb0="00000000" w:usb1="00000000" w:usb2="00000012" w:usb3="00000000" w:csb0="00040001" w:csb1="00000000"/>
  </w:font>
  <w:font w:name="Heiti SC Light">
    <w:altName w:val="宋体"/>
    <w:panose1 w:val="02000000000000000000"/>
    <w:charset w:val="86"/>
    <w:family w:val="auto"/>
    <w:pitch w:val="default"/>
    <w:sig w:usb0="00000000" w:usb1="00000000" w:usb2="00000000" w:usb3="00000000" w:csb0="203E0000" w:csb1="00000000"/>
  </w:font>
  <w:font w:name="EYInterstate Light">
    <w:altName w:val="Segoe Print"/>
    <w:panose1 w:val="00000000000000000000"/>
    <w:charset w:val="00"/>
    <w:family w:val="auto"/>
    <w:pitch w:val="default"/>
    <w:sig w:usb0="00000000" w:usb1="00000000" w:usb2="00000000" w:usb3="00000000" w:csb0="00000001" w:csb1="00000000"/>
  </w:font>
  <w:font w:name="Kingsoft Confetti">
    <w:altName w:val="Segoe Print"/>
    <w:panose1 w:val="05000000000000000000"/>
    <w:charset w:val="00"/>
    <w:family w:val="auto"/>
    <w:pitch w:val="default"/>
    <w:sig w:usb0="00000000" w:usb1="00000000" w:usb2="00000000" w:usb3="00000000" w:csb0="80000000" w:csb1="00000000"/>
  </w:font>
  <w:font w:name="汉仪旗黑KW 55S">
    <w:altName w:val="黑体"/>
    <w:panose1 w:val="00020600040101010101"/>
    <w:charset w:val="86"/>
    <w:family w:val="auto"/>
    <w:pitch w:val="default"/>
    <w:sig w:usb0="00000000" w:usb1="00000000" w:usb2="00000016" w:usb3="00000000" w:csb0="0004009F" w:csb1="DFD70000"/>
  </w:font>
  <w:font w:name="Heiti SC Medium">
    <w:altName w:val="宋体"/>
    <w:panose1 w:val="02000000000000000000"/>
    <w:charset w:val="86"/>
    <w:family w:val="auto"/>
    <w:pitch w:val="default"/>
    <w:sig w:usb0="00000000" w:usb1="00000000" w:usb2="00000000" w:usb3="00000000" w:csb0="203E0000" w:csb1="00000000"/>
  </w:font>
  <w:font w:name="STHeiti">
    <w:altName w:val="宋体"/>
    <w:panose1 w:val="02010600040101010101"/>
    <w:charset w:val="86"/>
    <w:family w:val="auto"/>
    <w:pitch w:val="default"/>
    <w:sig w:usb0="00000000" w:usb1="00000000" w:usb2="00000000" w:usb3="00000000" w:csb0="00040001" w:csb1="00000000"/>
  </w:font>
  <w:font w:name="汉仪中简黑简">
    <w:altName w:val="黑体"/>
    <w:panose1 w:val="00020600040101010101"/>
    <w:charset w:val="86"/>
    <w:family w:val="auto"/>
    <w:pitch w:val="default"/>
    <w:sig w:usb0="00000000" w:usb1="00000000" w:usb2="00000016" w:usb3="00000000" w:csb0="00040000" w:csb1="00000000"/>
  </w:font>
  <w:font w:name="Noto Sans CJK JP Regular">
    <w:altName w:val="Segoe Print"/>
    <w:panose1 w:val="00000000000000000000"/>
    <w:charset w:val="00"/>
    <w:family w:val="modern"/>
    <w:pitch w:val="default"/>
    <w:sig w:usb0="00000000" w:usb1="00000000" w:usb2="00000000" w:usb3="00000000" w:csb0="00000000" w:csb1="00000000"/>
  </w:font>
  <w:font w:name="Droid Sans Fallback">
    <w:altName w:val="Segoe Print"/>
    <w:panose1 w:val="00000000000000000000"/>
    <w:charset w:val="00"/>
    <w:family w:val="modern"/>
    <w:pitch w:val="default"/>
    <w:sig w:usb0="00000000" w:usb1="00000000" w:usb2="00000000" w:usb3="00000000" w:csb0="00000000" w:csb1="00000000"/>
  </w:font>
  <w:font w:name="Courier New">
    <w:panose1 w:val="02070309020205020404"/>
    <w:charset w:val="4D"/>
    <w:family w:val="roman"/>
    <w:pitch w:val="default"/>
    <w:sig w:usb0="E0002EFF" w:usb1="C0007843" w:usb2="00000009" w:usb3="00000000" w:csb0="400001FF" w:csb1="FFFF0000"/>
  </w:font>
  <w:font w:name="Apple SD Gothic Neo">
    <w:altName w:val="宋体"/>
    <w:panose1 w:val="02000300000000000000"/>
    <w:charset w:val="86"/>
    <w:family w:val="auto"/>
    <w:pitch w:val="default"/>
    <w:sig w:usb0="00000000" w:usb1="00000000" w:usb2="00000010" w:usb3="00000000" w:csb0="00280005" w:csb1="00000000"/>
  </w:font>
  <w:font w:name="Cambria Math">
    <w:panose1 w:val="02040503050406030204"/>
    <w:charset w:val="00"/>
    <w:family w:val="auto"/>
    <w:pitch w:val="default"/>
    <w:sig w:usb0="E00006FF" w:usb1="420024FF" w:usb2="02000000" w:usb3="00000000" w:csb0="2000019F" w:csb1="00000000"/>
  </w:font>
  <w:font w:name="Kingsoft Math">
    <w:altName w:val="Cambria Math"/>
    <w:panose1 w:val="02040503050406030204"/>
    <w:charset w:val="00"/>
    <w:family w:val="auto"/>
    <w:pitch w:val="default"/>
    <w:sig w:usb0="00000000" w:usb1="00000000" w:usb2="00000000" w:usb3="00000000" w:csb0="2000019F" w:csb1="00000000"/>
  </w:font>
  <w:font w:name="华文黑体">
    <w:altName w:val="黑体"/>
    <w:panose1 w:val="02010600040101010101"/>
    <w:charset w:val="86"/>
    <w:family w:val="auto"/>
    <w:pitch w:val="default"/>
    <w:sig w:usb0="00000000" w:usb1="00000000" w:usb2="00000000" w:usb3="00000000" w:csb0="00040001" w:csb1="00000000"/>
  </w:font>
  <w:font w:name="Arial Unicode MS">
    <w:altName w:val="Arial"/>
    <w:panose1 w:val="020B0604020202020204"/>
    <w:charset w:val="80"/>
    <w:family w:val="modern"/>
    <w:pitch w:val="default"/>
    <w:sig w:usb0="00000000" w:usb1="00000000" w:usb2="0000003F" w:usb3="00000000" w:csb0="603F01FF" w:csb1="FFFF0000"/>
  </w:font>
  <w:font w:name="创艺简中圆">
    <w:altName w:val="宋体"/>
    <w:panose1 w:val="020B0604020202020204"/>
    <w:charset w:val="86"/>
    <w:family w:val="auto"/>
    <w:pitch w:val="default"/>
    <w:sig w:usb0="00000000" w:usb1="00000000" w:usb2="00000010" w:usb3="00000000" w:csb0="00040000" w:csb1="00000000"/>
  </w:font>
  <w:font w:name="Phosphate Inline">
    <w:altName w:val="PMingLiU-ExtB"/>
    <w:panose1 w:val="02000506050000020004"/>
    <w:charset w:val="00"/>
    <w:family w:val="auto"/>
    <w:pitch w:val="default"/>
    <w:sig w:usb0="00000000" w:usb1="00000000" w:usb2="00000040" w:usb3="00000000" w:csb0="20000193" w:csb1="00000000"/>
  </w:font>
  <w:font w:name="Hiragino Sans GB W3">
    <w:altName w:val="宋体"/>
    <w:panose1 w:val="020B0300000000000000"/>
    <w:charset w:val="86"/>
    <w:family w:val="auto"/>
    <w:pitch w:val="default"/>
    <w:sig w:usb0="00000000" w:usb1="00000000" w:usb2="00000016" w:usb3="00000000" w:csb0="00060007" w:csb1="00000000"/>
  </w:font>
  <w:font w:name=".pingfang sc light">
    <w:altName w:val="Yu Gothic UI Light"/>
    <w:panose1 w:val="020B0300000000000000"/>
    <w:charset w:val="00"/>
    <w:family w:val="auto"/>
    <w:pitch w:val="default"/>
    <w:sig w:usb0="00000000" w:usb1="00000000" w:usb2="00000000" w:usb3="00000000" w:csb0="00000000" w:csb1="00000000"/>
  </w:font>
  <w:font w:name="Calibri-Bold">
    <w:altName w:val="Segoe Print"/>
    <w:panose1 w:val="00000000000000000000"/>
    <w:charset w:val="00"/>
    <w:family w:val="auto"/>
    <w:pitch w:val="default"/>
    <w:sig w:usb0="00000000" w:usb1="00000000" w:usb2="00000000" w:usb3="00000000" w:csb0="00000000" w:csb1="00000000"/>
  </w:font>
  <w:font w:name="MicrosoftYaHei">
    <w:altName w:val="Segoe Print"/>
    <w:panose1 w:val="00000000000000000000"/>
    <w:charset w:val="00"/>
    <w:family w:val="auto"/>
    <w:pitch w:val="default"/>
    <w:sig w:usb0="00000000" w:usb1="00000000" w:usb2="00000000" w:usb3="00000000" w:csb0="00000000" w:csb1="00000000"/>
  </w:font>
  <w:font w:name="ArialMT">
    <w:altName w:val="Segoe Print"/>
    <w:panose1 w:val="020B0604020202090204"/>
    <w:charset w:val="00"/>
    <w:family w:val="auto"/>
    <w:pitch w:val="default"/>
    <w:sig w:usb0="00000000" w:usb1="00000000" w:usb2="00000001" w:usb3="00000000" w:csb0="400001BF" w:csb1="DFF70000"/>
  </w:font>
  <w:font w:name="Heiti SC Light">
    <w:altName w:val="Microsoft YaHei UI Light"/>
    <w:panose1 w:val="02000000000000000000"/>
    <w:charset w:val="50"/>
    <w:family w:val="auto"/>
    <w:pitch w:val="default"/>
    <w:sig w:usb0="00000000" w:usb1="00000000" w:usb2="00000000" w:usb3="00000000" w:csb0="203E0000" w:csb1="00000000"/>
  </w:font>
  <w:font w:name="微软雅黑">
    <w:panose1 w:val="020B0503020204020204"/>
    <w:charset w:val="50"/>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crosoft YaHei UI Light">
    <w:panose1 w:val="020B0502040204020203"/>
    <w:charset w:val="50"/>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華康簡楷">
    <w:altName w:val="宋体"/>
    <w:panose1 w:val="00000000000000000000"/>
    <w:charset w:val="00"/>
    <w:family w:val="auto"/>
    <w:pitch w:val="default"/>
    <w:sig w:usb0="00000000" w:usb1="00000000" w:usb2="00000010"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HYShuSongErKW">
    <w:altName w:val="宋体"/>
    <w:panose1 w:val="00020600040101010101"/>
    <w:charset w:val="86"/>
    <w:family w:val="auto"/>
    <w:pitch w:val="default"/>
    <w:sig w:usb0="00000000" w:usb1="00000000" w:usb2="00000016" w:usb3="00000000" w:csb0="00040000" w:csb1="00000000"/>
  </w:font>
  <w:font w:name="Calibri">
    <w:panose1 w:val="020F0502020204030204"/>
    <w:charset w:val="86"/>
    <w:family w:val="modern"/>
    <w:pitch w:val="default"/>
    <w:sig w:usb0="E4002EFF" w:usb1="C000247B" w:usb2="00000009" w:usb3="00000000" w:csb0="200001FF" w:csb1="00000000"/>
  </w:font>
  <w:font w:name="Courier">
    <w:altName w:val="Courier New"/>
    <w:panose1 w:val="02070409020205020404"/>
    <w:charset w:val="00"/>
    <w:family w:val="roman"/>
    <w:pitch w:val="default"/>
    <w:sig w:usb0="00000000" w:usb1="00000000" w:usb2="00000000" w:usb3="00000000" w:csb0="00000001" w:csb1="00000000"/>
  </w:font>
  <w:font w:name="宋体t.祯畴.">
    <w:altName w:val="宋体"/>
    <w:panose1 w:val="00000000000000000000"/>
    <w:charset w:val="86"/>
    <w:family w:val="decorative"/>
    <w:pitch w:val="default"/>
    <w:sig w:usb0="00000000" w:usb1="00000000" w:usb2="00000010" w:usb3="00000000" w:csb0="00040000" w:csb1="00000000"/>
  </w:font>
  <w:font w:name="鑻规柟-绠">
    <w:altName w:val="微软雅黑"/>
    <w:panose1 w:val="00000000000000000000"/>
    <w:charset w:val="00"/>
    <w:family w:val="auto"/>
    <w:pitch w:val="default"/>
    <w:sig w:usb0="00000000" w:usb1="00000000" w:usb2="00000000" w:usb3="00000000" w:csb0="00040001" w:csb1="00000000"/>
  </w:font>
  <w:font w:name="Lantinghei SC Extralight">
    <w:altName w:val="宋体"/>
    <w:panose1 w:val="02000000000000000000"/>
    <w:charset w:val="86"/>
    <w:family w:val="auto"/>
    <w:pitch w:val="default"/>
    <w:sig w:usb0="00000000" w:usb1="00000000" w:usb2="00000000" w:usb3="00000000" w:csb0="00040000" w:csb1="00000000"/>
  </w:font>
  <w:font w:name="Menlo">
    <w:altName w:val="Segoe Print"/>
    <w:panose1 w:val="020B0609030804020204"/>
    <w:charset w:val="00"/>
    <w:family w:val="auto"/>
    <w:pitch w:val="default"/>
    <w:sig w:usb0="00000000" w:usb1="00000000" w:usb2="02000028" w:usb3="00000000" w:csb0="600001DF" w:csb1="FFDF0000"/>
  </w:font>
  <w:font w:name="Hack Nerd Font">
    <w:altName w:val="Yu Gothic UI Semibold"/>
    <w:panose1 w:val="020B0809030202090204"/>
    <w:charset w:val="00"/>
    <w:family w:val="auto"/>
    <w:pitch w:val="default"/>
    <w:sig w:usb0="00000000" w:usb1="00000000" w:usb2="00000000" w:usb3="00000000" w:csb0="2000019F" w:csb1="DFD70000"/>
  </w:font>
  <w:font w:name="Kaiti SC">
    <w:altName w:val="宋体"/>
    <w:panose1 w:val="02010600040101010101"/>
    <w:charset w:val="86"/>
    <w:family w:val="auto"/>
    <w:pitch w:val="default"/>
    <w:sig w:usb0="00000000" w:usb1="00000000" w:usb2="00000016" w:usb3="00000000" w:csb0="0004001F" w:csb1="0000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roman"/>
    <w:pitch w:val="default"/>
    <w:sig w:usb0="E00006FF" w:usb1="0000FCFF" w:usb2="00000001" w:usb3="00000000" w:csb0="6000019F" w:csb1="DFD70000"/>
  </w:font>
  <w:font w:name="ӗԲ">
    <w:altName w:val="微软雅黑"/>
    <w:panose1 w:val="00000000000000000000"/>
    <w:charset w:val="00"/>
    <w:family w:val="decorative"/>
    <w:pitch w:val="default"/>
    <w:sig w:usb0="00000000" w:usb1="00000000" w:usb2="00000000" w:usb3="00000000" w:csb0="00040001" w:csb1="00000000"/>
  </w:font>
  <w:font w:name="Sim Sun">
    <w:altName w:val="宋体"/>
    <w:panose1 w:val="00000000000000000000"/>
    <w:charset w:val="86"/>
    <w:family w:val="modern"/>
    <w:pitch w:val="default"/>
    <w:sig w:usb0="00000000" w:usb1="00000000" w:usb2="00000010" w:usb3="00000000" w:csb0="00040000" w:csb1="00000000"/>
  </w:font>
  <w:font w:name="Apple SD Gothic Neo">
    <w:altName w:val="Malgun Gothic"/>
    <w:panose1 w:val="02000300000000000000"/>
    <w:charset w:val="81"/>
    <w:family w:val="auto"/>
    <w:pitch w:val="default"/>
    <w:sig w:usb0="00000000" w:usb1="00000000" w:usb2="00000010" w:usb3="00000000" w:csb0="00280005" w:csb1="00000000"/>
  </w:font>
  <w:font w:name="Yu Gothic UI Light">
    <w:panose1 w:val="020B0300000000000000"/>
    <w:charset w:val="80"/>
    <w:family w:val="auto"/>
    <w:pitch w:val="default"/>
    <w:sig w:usb0="E00002FF" w:usb1="2AC7FDFF" w:usb2="00000016" w:usb3="00000000" w:csb0="2002009F"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Corbel Light">
    <w:panose1 w:val="020B0303020204020204"/>
    <w:charset w:val="00"/>
    <w:family w:val="auto"/>
    <w:pitch w:val="default"/>
    <w:sig w:usb0="A00002EF" w:usb1="4000A44B" w:usb2="00000000" w:usb3="00000000" w:csb0="2000019F" w:csb1="00000000"/>
  </w:font>
  <w:font w:name="Yu Gothic UI Semibold">
    <w:panose1 w:val="020B0700000000000000"/>
    <w:charset w:val="80"/>
    <w:family w:val="auto"/>
    <w:pitch w:val="default"/>
    <w:sig w:usb0="E00002FF" w:usb1="2AC7FDFF" w:usb2="00000016" w:usb3="00000000" w:csb0="2002009F" w:csb1="00000000"/>
  </w:font>
  <w:font w:name="KS P Mincho">
    <w:altName w:val="Malgun Gothic"/>
    <w:panose1 w:val="02030504000101010101"/>
    <w:charset w:val="81"/>
    <w:family w:val="auto"/>
    <w:pitch w:val="default"/>
    <w:sig w:usb0="00000000" w:usb1="00000000" w:usb2="00000010" w:usb3="00000000" w:csb0="00080000" w:csb1="00000000"/>
  </w:font>
  <w:font w:name="DejaVu Sans Mono">
    <w:altName w:val="Segoe Print"/>
    <w:panose1 w:val="020B0609030804020204"/>
    <w:charset w:val="00"/>
    <w:family w:val="auto"/>
    <w:pitch w:val="default"/>
    <w:sig w:usb0="00000000" w:usb1="00000000" w:usb2="02000028" w:usb3="00000000" w:csb0="600001DF" w:csb1="DFDF0000"/>
  </w:font>
  <w:font w:name="mw-iconfont">
    <w:altName w:val="Segoe Print"/>
    <w:panose1 w:val="00000000000000000000"/>
    <w:charset w:val="00"/>
    <w:family w:val="auto"/>
    <w:pitch w:val="default"/>
    <w:sig w:usb0="00000000" w:usb1="00000000" w:usb2="00000000" w:usb3="00000000" w:csb0="00000000" w:csb1="00000000"/>
  </w:font>
  <w:font w:name="company-icon">
    <w:altName w:val="Segoe Print"/>
    <w:panose1 w:val="00000000000000000000"/>
    <w:charset w:val="00"/>
    <w:family w:val="auto"/>
    <w:pitch w:val="default"/>
    <w:sig w:usb0="00000000" w:usb1="00000000" w:usb2="00000000" w:usb3="00000000" w:csb0="00000000" w:csb1="00000000"/>
  </w:font>
  <w:font w:name="MicrosoftYaHei">
    <w:altName w:val="宋体"/>
    <w:panose1 w:val="020B0503020204020204"/>
    <w:charset w:val="86"/>
    <w:family w:val="auto"/>
    <w:pitch w:val="default"/>
    <w:sig w:usb0="00000000" w:usb1="00000000" w:usb2="00000016" w:usb3="00000000" w:csb0="0004001F" w:csb1="00000000"/>
  </w:font>
  <w:font w:name="Thonburi">
    <w:altName w:val="Segoe Print"/>
    <w:panose1 w:val="00000400000000000000"/>
    <w:charset w:val="00"/>
    <w:family w:val="auto"/>
    <w:pitch w:val="default"/>
    <w:sig w:usb0="00000000" w:usb1="00000000" w:usb2="00000000" w:usb3="00000000" w:csb0="20000193" w:csb1="4D000000"/>
  </w:font>
  <w:font w:name="昆仑楷体">
    <w:altName w:val="宋体"/>
    <w:panose1 w:val="00000000000000000000"/>
    <w:charset w:val="00"/>
    <w:family w:val="modern"/>
    <w:pitch w:val="default"/>
    <w:sig w:usb0="00000000" w:usb1="00000000" w:usb2="00000010" w:usb3="00000000" w:csb0="00040000" w:csb1="00000000"/>
  </w:font>
  <w:font w:name="文鼎粗黑">
    <w:altName w:val="黑体"/>
    <w:panose1 w:val="00000000000000000000"/>
    <w:charset w:val="00"/>
    <w:family w:val="modern"/>
    <w:pitch w:val="default"/>
    <w:sig w:usb0="00000000" w:usb1="00000000" w:usb2="00000010" w:usb3="00000000" w:csb0="00040000" w:csb1="00000000"/>
  </w:font>
  <w:font w:name="彩虹粗仿宋">
    <w:altName w:val="微软雅黑"/>
    <w:panose1 w:val="00000000000000000000"/>
    <w:charset w:val="00"/>
    <w:family w:val="auto"/>
    <w:pitch w:val="default"/>
    <w:sig w:usb0="00000000" w:usb1="00000000" w:usb2="00000000" w:usb3="00000000" w:csb0="00040001" w:csb1="00000000"/>
  </w:font>
  <w:font w:name="Kaiti SC Black">
    <w:altName w:val="宋体"/>
    <w:panose1 w:val="00000000000000000000"/>
    <w:charset w:val="86"/>
    <w:family w:val="auto"/>
    <w:pitch w:val="default"/>
    <w:sig w:usb0="00000000" w:usb1="00000000" w:usb2="00000016" w:usb3="00000000" w:csb0="0004001F" w:csb1="00000000"/>
  </w:font>
  <w:font w:name="Source Sans Pro">
    <w:altName w:val="Segoe Print"/>
    <w:panose1 w:val="00000000000000000000"/>
    <w:charset w:val="00"/>
    <w:family w:val="auto"/>
    <w:pitch w:val="default"/>
    <w:sig w:usb0="00000000" w:usb1="00000000" w:usb2="00000000" w:usb3="00000000" w:csb0="00000000" w:csb1="00000000"/>
  </w:font>
  <w:font w:name="Noto Sans SC Black">
    <w:altName w:val="MS Gothic"/>
    <w:panose1 w:val="00000000000000000000"/>
    <w:charset w:val="80"/>
    <w:family w:val="roman"/>
    <w:pitch w:val="default"/>
    <w:sig w:usb0="00000000" w:usb1="00000000" w:usb2="00000000" w:usb3="00000000" w:csb0="00000000" w:csb1="00000000"/>
  </w:font>
  <w:font w:name="FZHTK--GBK1-0">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8C003"/>
    <w:multiLevelType w:val="singleLevel"/>
    <w:tmpl w:val="DFE8C003"/>
    <w:lvl w:ilvl="0" w:tentative="0">
      <w:start w:val="1"/>
      <w:numFmt w:val="decimal"/>
      <w:suff w:val="space"/>
      <w:lvlText w:val="%1."/>
      <w:lvlJc w:val="left"/>
      <w:rPr>
        <w:rFonts w:hint="default"/>
        <w:b/>
        <w:bCs/>
      </w:rPr>
    </w:lvl>
  </w:abstractNum>
  <w:abstractNum w:abstractNumId="1">
    <w:nsid w:val="1AF30BED"/>
    <w:multiLevelType w:val="multilevel"/>
    <w:tmpl w:val="1AF30BED"/>
    <w:lvl w:ilvl="0" w:tentative="0">
      <w:start w:val="1"/>
      <w:numFmt w:val="decimal"/>
      <w:lvlText w:val="%1"/>
      <w:lvlJc w:val="left"/>
      <w:pPr>
        <w:ind w:left="425" w:hanging="425"/>
      </w:pPr>
      <w:rPr>
        <w:rFonts w:hint="default"/>
      </w:rPr>
    </w:lvl>
    <w:lvl w:ilvl="1" w:tentative="0">
      <w:start w:val="1"/>
      <w:numFmt w:val="decimal"/>
      <w:pStyle w:val="4"/>
      <w:lvlText w:val="%1.%2"/>
      <w:lvlJc w:val="left"/>
      <w:pPr>
        <w:ind w:left="992" w:hanging="567"/>
      </w:pPr>
      <w:rPr>
        <w:rFonts w:hint="default"/>
      </w:rPr>
    </w:lvl>
    <w:lvl w:ilvl="2" w:tentative="0">
      <w:start w:val="1"/>
      <w:numFmt w:val="decimal"/>
      <w:lvlText w:val="%1.%2.%3"/>
      <w:lvlJc w:val="left"/>
      <w:pPr>
        <w:ind w:left="1418" w:hanging="567"/>
      </w:pPr>
      <w:rPr>
        <w:rFonts w:hint="default"/>
      </w:rPr>
    </w:lvl>
    <w:lvl w:ilvl="3" w:tentative="0">
      <w:start w:val="1"/>
      <w:numFmt w:val="decimal"/>
      <w:lvlText w:val="%1.%2.%3.%4"/>
      <w:lvlJc w:val="left"/>
      <w:pPr>
        <w:ind w:left="1984" w:hanging="708"/>
      </w:pPr>
      <w:rPr>
        <w:rFonts w:hint="default"/>
      </w:rPr>
    </w:lvl>
    <w:lvl w:ilvl="4" w:tentative="0">
      <w:start w:val="1"/>
      <w:numFmt w:val="decimal"/>
      <w:lvlText w:val="%1.%2.%3.%4.%5"/>
      <w:lvlJc w:val="left"/>
      <w:pPr>
        <w:ind w:left="2551" w:hanging="850"/>
      </w:pPr>
      <w:rPr>
        <w:rFonts w:hint="default"/>
      </w:rPr>
    </w:lvl>
    <w:lvl w:ilvl="5" w:tentative="0">
      <w:start w:val="1"/>
      <w:numFmt w:val="decimal"/>
      <w:lvlText w:val="%1.%2.%3.%4.%5.%6"/>
      <w:lvlJc w:val="left"/>
      <w:pPr>
        <w:ind w:left="3260" w:hanging="1134"/>
      </w:pPr>
      <w:rPr>
        <w:rFonts w:hint="default"/>
      </w:rPr>
    </w:lvl>
    <w:lvl w:ilvl="6" w:tentative="0">
      <w:start w:val="1"/>
      <w:numFmt w:val="decimal"/>
      <w:lvlText w:val="%1.%2.%3.%4.%5.%6.%7"/>
      <w:lvlJc w:val="left"/>
      <w:pPr>
        <w:ind w:left="3827" w:hanging="1276"/>
      </w:pPr>
      <w:rPr>
        <w:rFonts w:hint="default"/>
      </w:rPr>
    </w:lvl>
    <w:lvl w:ilvl="7" w:tentative="0">
      <w:start w:val="1"/>
      <w:numFmt w:val="decimal"/>
      <w:lvlText w:val="%1.%2.%3.%4.%5.%6.%7.%8"/>
      <w:lvlJc w:val="left"/>
      <w:pPr>
        <w:ind w:left="4394" w:hanging="1418"/>
      </w:pPr>
      <w:rPr>
        <w:rFonts w:hint="default"/>
      </w:rPr>
    </w:lvl>
    <w:lvl w:ilvl="8" w:tentative="0">
      <w:start w:val="1"/>
      <w:numFmt w:val="decimal"/>
      <w:lvlText w:val="%1.%2.%3.%4.%5.%6.%7.%8.%9"/>
      <w:lvlJc w:val="left"/>
      <w:pPr>
        <w:ind w:left="5102" w:hanging="1700"/>
      </w:pPr>
      <w:rPr>
        <w:rFonts w:hint="default"/>
      </w:rPr>
    </w:lvl>
  </w:abstractNum>
  <w:abstractNum w:abstractNumId="2">
    <w:nsid w:val="64129217"/>
    <w:multiLevelType w:val="singleLevel"/>
    <w:tmpl w:val="64129217"/>
    <w:lvl w:ilvl="0" w:tentative="0">
      <w:start w:val="7"/>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05A2F59"/>
    <w:rsid w:val="00094B31"/>
    <w:rsid w:val="000C289C"/>
    <w:rsid w:val="00240E32"/>
    <w:rsid w:val="002D1A0C"/>
    <w:rsid w:val="00330861"/>
    <w:rsid w:val="00334BD6"/>
    <w:rsid w:val="003544BD"/>
    <w:rsid w:val="0055209B"/>
    <w:rsid w:val="00821BA5"/>
    <w:rsid w:val="008B6CF2"/>
    <w:rsid w:val="008E34FA"/>
    <w:rsid w:val="00AE7FB6"/>
    <w:rsid w:val="00C3743C"/>
    <w:rsid w:val="00C430A2"/>
    <w:rsid w:val="00C448CD"/>
    <w:rsid w:val="00CC4CF7"/>
    <w:rsid w:val="00DE233B"/>
    <w:rsid w:val="00E77631"/>
    <w:rsid w:val="00FA77F8"/>
    <w:rsid w:val="01370206"/>
    <w:rsid w:val="013A3E60"/>
    <w:rsid w:val="015F267D"/>
    <w:rsid w:val="0183728A"/>
    <w:rsid w:val="019061F3"/>
    <w:rsid w:val="01B52064"/>
    <w:rsid w:val="01D07389"/>
    <w:rsid w:val="01D152A8"/>
    <w:rsid w:val="023717C8"/>
    <w:rsid w:val="02734614"/>
    <w:rsid w:val="02BB280A"/>
    <w:rsid w:val="02C31E14"/>
    <w:rsid w:val="02FD5A9C"/>
    <w:rsid w:val="03145FC4"/>
    <w:rsid w:val="032B6341"/>
    <w:rsid w:val="0330024A"/>
    <w:rsid w:val="03481900"/>
    <w:rsid w:val="037B73C5"/>
    <w:rsid w:val="03A50209"/>
    <w:rsid w:val="03CF48D0"/>
    <w:rsid w:val="040255DF"/>
    <w:rsid w:val="041C44DF"/>
    <w:rsid w:val="042D13E6"/>
    <w:rsid w:val="04395128"/>
    <w:rsid w:val="04AB1CB5"/>
    <w:rsid w:val="04B21EDB"/>
    <w:rsid w:val="04D46375"/>
    <w:rsid w:val="052615FE"/>
    <w:rsid w:val="05941C32"/>
    <w:rsid w:val="05B672BE"/>
    <w:rsid w:val="05FF34BF"/>
    <w:rsid w:val="060B0977"/>
    <w:rsid w:val="062835BC"/>
    <w:rsid w:val="062A342B"/>
    <w:rsid w:val="0654426F"/>
    <w:rsid w:val="066D5199"/>
    <w:rsid w:val="067E7888"/>
    <w:rsid w:val="06DA67B1"/>
    <w:rsid w:val="06FC3783"/>
    <w:rsid w:val="07554581"/>
    <w:rsid w:val="075C28A3"/>
    <w:rsid w:val="076758B7"/>
    <w:rsid w:val="078E0AF3"/>
    <w:rsid w:val="07B03D9B"/>
    <w:rsid w:val="07BF12C2"/>
    <w:rsid w:val="07EF1877"/>
    <w:rsid w:val="07FB1A20"/>
    <w:rsid w:val="08000CC7"/>
    <w:rsid w:val="08071746"/>
    <w:rsid w:val="081467CE"/>
    <w:rsid w:val="08306C27"/>
    <w:rsid w:val="08380F8C"/>
    <w:rsid w:val="084D6D02"/>
    <w:rsid w:val="08961326"/>
    <w:rsid w:val="08A63DFA"/>
    <w:rsid w:val="08A93816"/>
    <w:rsid w:val="08AF7688"/>
    <w:rsid w:val="08CA2A7A"/>
    <w:rsid w:val="08E03977"/>
    <w:rsid w:val="095F6443"/>
    <w:rsid w:val="09724AE4"/>
    <w:rsid w:val="09742F12"/>
    <w:rsid w:val="098C1FC4"/>
    <w:rsid w:val="099C2DD2"/>
    <w:rsid w:val="09DE70B6"/>
    <w:rsid w:val="0A025FF9"/>
    <w:rsid w:val="0A46326B"/>
    <w:rsid w:val="0A7F629A"/>
    <w:rsid w:val="0A876253"/>
    <w:rsid w:val="0AA8044E"/>
    <w:rsid w:val="0AAE03DD"/>
    <w:rsid w:val="0AD95ABB"/>
    <w:rsid w:val="0ADA4AF7"/>
    <w:rsid w:val="0B32416D"/>
    <w:rsid w:val="0B3963C9"/>
    <w:rsid w:val="0B4A0884"/>
    <w:rsid w:val="0B74045A"/>
    <w:rsid w:val="0B780CB1"/>
    <w:rsid w:val="0B7A5606"/>
    <w:rsid w:val="0B8C5670"/>
    <w:rsid w:val="0B914186"/>
    <w:rsid w:val="0BA24D4B"/>
    <w:rsid w:val="0BC25FDA"/>
    <w:rsid w:val="0BC95965"/>
    <w:rsid w:val="0BE8769C"/>
    <w:rsid w:val="0BEF4520"/>
    <w:rsid w:val="0C043E37"/>
    <w:rsid w:val="0C07544A"/>
    <w:rsid w:val="0C0D51B0"/>
    <w:rsid w:val="0C133D1E"/>
    <w:rsid w:val="0C356A11"/>
    <w:rsid w:val="0C3E33A6"/>
    <w:rsid w:val="0C552FCB"/>
    <w:rsid w:val="0C572C4B"/>
    <w:rsid w:val="0C7A1F06"/>
    <w:rsid w:val="0C7A741A"/>
    <w:rsid w:val="0C824D94"/>
    <w:rsid w:val="0C8A5A23"/>
    <w:rsid w:val="0CA80DD2"/>
    <w:rsid w:val="0CB508FB"/>
    <w:rsid w:val="0CB55C5B"/>
    <w:rsid w:val="0CDB4C0D"/>
    <w:rsid w:val="0D8323B8"/>
    <w:rsid w:val="0D8C5F19"/>
    <w:rsid w:val="0DDB1679"/>
    <w:rsid w:val="0DEB14A0"/>
    <w:rsid w:val="0DFD6299"/>
    <w:rsid w:val="0E247D43"/>
    <w:rsid w:val="0E4B7C02"/>
    <w:rsid w:val="0E856AE3"/>
    <w:rsid w:val="0EAC4DE2"/>
    <w:rsid w:val="0EDB61ED"/>
    <w:rsid w:val="0F0A7E1F"/>
    <w:rsid w:val="0F231E64"/>
    <w:rsid w:val="0F2A39ED"/>
    <w:rsid w:val="0F2A4EEA"/>
    <w:rsid w:val="0F2C6F5F"/>
    <w:rsid w:val="0F305B71"/>
    <w:rsid w:val="0F4C44B7"/>
    <w:rsid w:val="0F6C1684"/>
    <w:rsid w:val="0F73643E"/>
    <w:rsid w:val="0F7612E1"/>
    <w:rsid w:val="0F80335D"/>
    <w:rsid w:val="0F837CB3"/>
    <w:rsid w:val="0F971E23"/>
    <w:rsid w:val="0FB70159"/>
    <w:rsid w:val="0FC306E9"/>
    <w:rsid w:val="0FC70D86"/>
    <w:rsid w:val="0FE36A1F"/>
    <w:rsid w:val="0FE963AA"/>
    <w:rsid w:val="0FEE0818"/>
    <w:rsid w:val="0FF1522E"/>
    <w:rsid w:val="101F0E02"/>
    <w:rsid w:val="104D1847"/>
    <w:rsid w:val="106668D7"/>
    <w:rsid w:val="109158BE"/>
    <w:rsid w:val="10B1454F"/>
    <w:rsid w:val="10BB6702"/>
    <w:rsid w:val="110339A8"/>
    <w:rsid w:val="11175534"/>
    <w:rsid w:val="113F0EDA"/>
    <w:rsid w:val="114560D9"/>
    <w:rsid w:val="11697B20"/>
    <w:rsid w:val="117D2F3D"/>
    <w:rsid w:val="11834BC4"/>
    <w:rsid w:val="1186722E"/>
    <w:rsid w:val="11B26280"/>
    <w:rsid w:val="11D87DD3"/>
    <w:rsid w:val="11E00A63"/>
    <w:rsid w:val="11E051E0"/>
    <w:rsid w:val="12010F98"/>
    <w:rsid w:val="122C785E"/>
    <w:rsid w:val="12332A6C"/>
    <w:rsid w:val="12345382"/>
    <w:rsid w:val="126F4B38"/>
    <w:rsid w:val="12841587"/>
    <w:rsid w:val="12D0036B"/>
    <w:rsid w:val="12DE5103"/>
    <w:rsid w:val="12F950CF"/>
    <w:rsid w:val="130B144A"/>
    <w:rsid w:val="13176561"/>
    <w:rsid w:val="13371015"/>
    <w:rsid w:val="133721C3"/>
    <w:rsid w:val="13423DD3"/>
    <w:rsid w:val="135F6956"/>
    <w:rsid w:val="13771DFE"/>
    <w:rsid w:val="139513AE"/>
    <w:rsid w:val="13B27DC8"/>
    <w:rsid w:val="13C454C5"/>
    <w:rsid w:val="14216A14"/>
    <w:rsid w:val="14305A58"/>
    <w:rsid w:val="1457366A"/>
    <w:rsid w:val="145D60DB"/>
    <w:rsid w:val="1466780B"/>
    <w:rsid w:val="14793969"/>
    <w:rsid w:val="147C16C2"/>
    <w:rsid w:val="14877912"/>
    <w:rsid w:val="14946D53"/>
    <w:rsid w:val="14AF19EE"/>
    <w:rsid w:val="14DB4F49"/>
    <w:rsid w:val="152165B6"/>
    <w:rsid w:val="153B29E4"/>
    <w:rsid w:val="153B4F62"/>
    <w:rsid w:val="155D421D"/>
    <w:rsid w:val="155F7720"/>
    <w:rsid w:val="15631A02"/>
    <w:rsid w:val="15715AE9"/>
    <w:rsid w:val="15F55695"/>
    <w:rsid w:val="16144F34"/>
    <w:rsid w:val="163C2586"/>
    <w:rsid w:val="166C3450"/>
    <w:rsid w:val="166D65D9"/>
    <w:rsid w:val="16761466"/>
    <w:rsid w:val="168A398A"/>
    <w:rsid w:val="16DA4A0E"/>
    <w:rsid w:val="16E00B16"/>
    <w:rsid w:val="16F45551"/>
    <w:rsid w:val="16F60DC6"/>
    <w:rsid w:val="16FB4F43"/>
    <w:rsid w:val="175456F2"/>
    <w:rsid w:val="17641B05"/>
    <w:rsid w:val="17692FF8"/>
    <w:rsid w:val="177121C2"/>
    <w:rsid w:val="17741389"/>
    <w:rsid w:val="17797B1C"/>
    <w:rsid w:val="178103A4"/>
    <w:rsid w:val="17B3022F"/>
    <w:rsid w:val="17B82CBA"/>
    <w:rsid w:val="17C46B8A"/>
    <w:rsid w:val="17D11706"/>
    <w:rsid w:val="181D3400"/>
    <w:rsid w:val="182C52B5"/>
    <w:rsid w:val="18376EC9"/>
    <w:rsid w:val="183F1D57"/>
    <w:rsid w:val="185E6D88"/>
    <w:rsid w:val="18633A3E"/>
    <w:rsid w:val="187E2872"/>
    <w:rsid w:val="187F336D"/>
    <w:rsid w:val="189849A7"/>
    <w:rsid w:val="18A474FD"/>
    <w:rsid w:val="18B34671"/>
    <w:rsid w:val="18B57797"/>
    <w:rsid w:val="18E67F66"/>
    <w:rsid w:val="19054724"/>
    <w:rsid w:val="19150AB5"/>
    <w:rsid w:val="191A16BA"/>
    <w:rsid w:val="193070E1"/>
    <w:rsid w:val="19651B39"/>
    <w:rsid w:val="19723C44"/>
    <w:rsid w:val="1973304D"/>
    <w:rsid w:val="19836591"/>
    <w:rsid w:val="19925906"/>
    <w:rsid w:val="19A7546D"/>
    <w:rsid w:val="19E80263"/>
    <w:rsid w:val="19EC1E11"/>
    <w:rsid w:val="19F86B2A"/>
    <w:rsid w:val="19FD2FB1"/>
    <w:rsid w:val="1A092647"/>
    <w:rsid w:val="1A1A4850"/>
    <w:rsid w:val="1A34568A"/>
    <w:rsid w:val="1A721901"/>
    <w:rsid w:val="1A774355"/>
    <w:rsid w:val="1A7A3C00"/>
    <w:rsid w:val="1A9966B3"/>
    <w:rsid w:val="1AA52B78"/>
    <w:rsid w:val="1ACC2385"/>
    <w:rsid w:val="1AD90331"/>
    <w:rsid w:val="1ADF5B23"/>
    <w:rsid w:val="1AE75DBB"/>
    <w:rsid w:val="1B34189D"/>
    <w:rsid w:val="1B487750"/>
    <w:rsid w:val="1B5543FC"/>
    <w:rsid w:val="1B6415FF"/>
    <w:rsid w:val="1B664B02"/>
    <w:rsid w:val="1B6F337F"/>
    <w:rsid w:val="1B8340B2"/>
    <w:rsid w:val="1B8C6F40"/>
    <w:rsid w:val="1B915189"/>
    <w:rsid w:val="1BC702F4"/>
    <w:rsid w:val="1BE608D3"/>
    <w:rsid w:val="1C03795E"/>
    <w:rsid w:val="1C0F3C96"/>
    <w:rsid w:val="1C2A5B45"/>
    <w:rsid w:val="1C4466EF"/>
    <w:rsid w:val="1C566CD7"/>
    <w:rsid w:val="1C816D20"/>
    <w:rsid w:val="1C8416D6"/>
    <w:rsid w:val="1C8B1061"/>
    <w:rsid w:val="1CBF3A80"/>
    <w:rsid w:val="1CC57F42"/>
    <w:rsid w:val="1CD74BC0"/>
    <w:rsid w:val="1CFF6E22"/>
    <w:rsid w:val="1D074DEA"/>
    <w:rsid w:val="1D2E6E29"/>
    <w:rsid w:val="1D4D111F"/>
    <w:rsid w:val="1D790CEA"/>
    <w:rsid w:val="1DA11B0C"/>
    <w:rsid w:val="1DA83DB7"/>
    <w:rsid w:val="1DB26ACD"/>
    <w:rsid w:val="1DCE2972"/>
    <w:rsid w:val="1DD63602"/>
    <w:rsid w:val="1DED1D17"/>
    <w:rsid w:val="1DF255F5"/>
    <w:rsid w:val="1E1216AD"/>
    <w:rsid w:val="1E164420"/>
    <w:rsid w:val="1E345B9A"/>
    <w:rsid w:val="1E5B385B"/>
    <w:rsid w:val="1E6131E6"/>
    <w:rsid w:val="1E934CC5"/>
    <w:rsid w:val="1EA1074C"/>
    <w:rsid w:val="1EB02F65"/>
    <w:rsid w:val="1EC63892"/>
    <w:rsid w:val="1EC91910"/>
    <w:rsid w:val="1F2A2C2F"/>
    <w:rsid w:val="1F3179DB"/>
    <w:rsid w:val="1F3E1DC0"/>
    <w:rsid w:val="1F500344"/>
    <w:rsid w:val="1FC81833"/>
    <w:rsid w:val="1FD123C9"/>
    <w:rsid w:val="1FEE37A0"/>
    <w:rsid w:val="20371AE7"/>
    <w:rsid w:val="20462102"/>
    <w:rsid w:val="205A2F59"/>
    <w:rsid w:val="20695B39"/>
    <w:rsid w:val="207F7CDD"/>
    <w:rsid w:val="20824B9B"/>
    <w:rsid w:val="20B15F2E"/>
    <w:rsid w:val="21053439"/>
    <w:rsid w:val="212A74EF"/>
    <w:rsid w:val="213603FB"/>
    <w:rsid w:val="215C00E3"/>
    <w:rsid w:val="21676A7E"/>
    <w:rsid w:val="21720072"/>
    <w:rsid w:val="217D437D"/>
    <w:rsid w:val="21811F6A"/>
    <w:rsid w:val="21E45026"/>
    <w:rsid w:val="220D1A6D"/>
    <w:rsid w:val="22395DB5"/>
    <w:rsid w:val="224229BF"/>
    <w:rsid w:val="225F01F3"/>
    <w:rsid w:val="226D2D8C"/>
    <w:rsid w:val="226F628F"/>
    <w:rsid w:val="228274AE"/>
    <w:rsid w:val="228316AC"/>
    <w:rsid w:val="22A60967"/>
    <w:rsid w:val="22C205C9"/>
    <w:rsid w:val="22D227B2"/>
    <w:rsid w:val="22E03FC4"/>
    <w:rsid w:val="23061F58"/>
    <w:rsid w:val="2317411E"/>
    <w:rsid w:val="23302842"/>
    <w:rsid w:val="239D4B92"/>
    <w:rsid w:val="23BD012F"/>
    <w:rsid w:val="23CB48BE"/>
    <w:rsid w:val="23CD1AD6"/>
    <w:rsid w:val="23D45010"/>
    <w:rsid w:val="23EB1C29"/>
    <w:rsid w:val="24120ED4"/>
    <w:rsid w:val="243C57BA"/>
    <w:rsid w:val="24517D01"/>
    <w:rsid w:val="24731055"/>
    <w:rsid w:val="24870E7D"/>
    <w:rsid w:val="24A63930"/>
    <w:rsid w:val="24B87DE9"/>
    <w:rsid w:val="24C818E6"/>
    <w:rsid w:val="24DB573E"/>
    <w:rsid w:val="24EE4711"/>
    <w:rsid w:val="24F84634"/>
    <w:rsid w:val="25156162"/>
    <w:rsid w:val="25183DD4"/>
    <w:rsid w:val="253A0920"/>
    <w:rsid w:val="25695E87"/>
    <w:rsid w:val="259C28AE"/>
    <w:rsid w:val="25A53853"/>
    <w:rsid w:val="25B03DE2"/>
    <w:rsid w:val="25CE3392"/>
    <w:rsid w:val="25E45243"/>
    <w:rsid w:val="26054B71"/>
    <w:rsid w:val="26070074"/>
    <w:rsid w:val="2613098C"/>
    <w:rsid w:val="26600703"/>
    <w:rsid w:val="26762613"/>
    <w:rsid w:val="26C533C9"/>
    <w:rsid w:val="26EB1CB4"/>
    <w:rsid w:val="26EB3B6A"/>
    <w:rsid w:val="26FD1886"/>
    <w:rsid w:val="275558E1"/>
    <w:rsid w:val="278504E5"/>
    <w:rsid w:val="279F35CF"/>
    <w:rsid w:val="27AE70A5"/>
    <w:rsid w:val="27B61003"/>
    <w:rsid w:val="27D07660"/>
    <w:rsid w:val="27E85793"/>
    <w:rsid w:val="28573B00"/>
    <w:rsid w:val="2868435B"/>
    <w:rsid w:val="2886390B"/>
    <w:rsid w:val="28A279B8"/>
    <w:rsid w:val="28A94DC4"/>
    <w:rsid w:val="28DD5B1B"/>
    <w:rsid w:val="28E166C0"/>
    <w:rsid w:val="28F06EA7"/>
    <w:rsid w:val="29697054"/>
    <w:rsid w:val="29732FAB"/>
    <w:rsid w:val="297C2ABA"/>
    <w:rsid w:val="29AC36EE"/>
    <w:rsid w:val="2A0C2A72"/>
    <w:rsid w:val="2A113092"/>
    <w:rsid w:val="2A172352"/>
    <w:rsid w:val="2A1A5F20"/>
    <w:rsid w:val="2A71692E"/>
    <w:rsid w:val="2AB90AEC"/>
    <w:rsid w:val="2ABF7A09"/>
    <w:rsid w:val="2B1D22CA"/>
    <w:rsid w:val="2B4A4093"/>
    <w:rsid w:val="2B5327A4"/>
    <w:rsid w:val="2B5B0160"/>
    <w:rsid w:val="2B6C6340"/>
    <w:rsid w:val="2B992DCA"/>
    <w:rsid w:val="2BC7145E"/>
    <w:rsid w:val="2C180511"/>
    <w:rsid w:val="2C1868BC"/>
    <w:rsid w:val="2C486535"/>
    <w:rsid w:val="2C490D7C"/>
    <w:rsid w:val="2C6D2EF1"/>
    <w:rsid w:val="2C76182C"/>
    <w:rsid w:val="2C7B5A8A"/>
    <w:rsid w:val="2CC27288"/>
    <w:rsid w:val="2D11017C"/>
    <w:rsid w:val="2D6E2A94"/>
    <w:rsid w:val="2D8311A2"/>
    <w:rsid w:val="2DB04802"/>
    <w:rsid w:val="2DB56836"/>
    <w:rsid w:val="2DD50B7A"/>
    <w:rsid w:val="2DE50811"/>
    <w:rsid w:val="2E144361"/>
    <w:rsid w:val="2E187723"/>
    <w:rsid w:val="2E4B2B45"/>
    <w:rsid w:val="2E976861"/>
    <w:rsid w:val="2E9F1F0C"/>
    <w:rsid w:val="2EB700B3"/>
    <w:rsid w:val="2EED6009"/>
    <w:rsid w:val="2F0A5187"/>
    <w:rsid w:val="2F0A5C96"/>
    <w:rsid w:val="2F0E7FC2"/>
    <w:rsid w:val="2F242165"/>
    <w:rsid w:val="2F3115B9"/>
    <w:rsid w:val="2F326EFC"/>
    <w:rsid w:val="2F3A6F1F"/>
    <w:rsid w:val="2F446A90"/>
    <w:rsid w:val="2F58713C"/>
    <w:rsid w:val="2F5A4C87"/>
    <w:rsid w:val="2F800C4B"/>
    <w:rsid w:val="2F8C1741"/>
    <w:rsid w:val="2FBE2364"/>
    <w:rsid w:val="2FEB66AB"/>
    <w:rsid w:val="2FF46FBA"/>
    <w:rsid w:val="2FFC03A6"/>
    <w:rsid w:val="30133FEC"/>
    <w:rsid w:val="30502ACF"/>
    <w:rsid w:val="30527F05"/>
    <w:rsid w:val="306040EB"/>
    <w:rsid w:val="307F49A0"/>
    <w:rsid w:val="30B4310F"/>
    <w:rsid w:val="30C2188E"/>
    <w:rsid w:val="31036FD2"/>
    <w:rsid w:val="31586882"/>
    <w:rsid w:val="31622E82"/>
    <w:rsid w:val="317559AC"/>
    <w:rsid w:val="31990859"/>
    <w:rsid w:val="319C66BF"/>
    <w:rsid w:val="31CA6BCF"/>
    <w:rsid w:val="31DE235E"/>
    <w:rsid w:val="31E6646A"/>
    <w:rsid w:val="320719E8"/>
    <w:rsid w:val="322E32CA"/>
    <w:rsid w:val="32331A68"/>
    <w:rsid w:val="324D7372"/>
    <w:rsid w:val="326957C5"/>
    <w:rsid w:val="32767114"/>
    <w:rsid w:val="32786CD9"/>
    <w:rsid w:val="32BE24FA"/>
    <w:rsid w:val="32D44E75"/>
    <w:rsid w:val="330A227B"/>
    <w:rsid w:val="330D71CD"/>
    <w:rsid w:val="33292380"/>
    <w:rsid w:val="33301D0B"/>
    <w:rsid w:val="333E321F"/>
    <w:rsid w:val="334C4406"/>
    <w:rsid w:val="335067DE"/>
    <w:rsid w:val="33637123"/>
    <w:rsid w:val="33DB47FC"/>
    <w:rsid w:val="342E2B27"/>
    <w:rsid w:val="3444054E"/>
    <w:rsid w:val="34635580"/>
    <w:rsid w:val="34763193"/>
    <w:rsid w:val="347B3CEF"/>
    <w:rsid w:val="347E3BAB"/>
    <w:rsid w:val="34914503"/>
    <w:rsid w:val="34C11BAD"/>
    <w:rsid w:val="34E31351"/>
    <w:rsid w:val="34EC4F38"/>
    <w:rsid w:val="3519340E"/>
    <w:rsid w:val="3522217F"/>
    <w:rsid w:val="352F1699"/>
    <w:rsid w:val="3537465F"/>
    <w:rsid w:val="35501BF2"/>
    <w:rsid w:val="35661CEF"/>
    <w:rsid w:val="3604052F"/>
    <w:rsid w:val="360F68C0"/>
    <w:rsid w:val="361A6E50"/>
    <w:rsid w:val="36226F25"/>
    <w:rsid w:val="36422592"/>
    <w:rsid w:val="366A3757"/>
    <w:rsid w:val="36BC6335"/>
    <w:rsid w:val="37134E69"/>
    <w:rsid w:val="37420E04"/>
    <w:rsid w:val="37541156"/>
    <w:rsid w:val="375C33C9"/>
    <w:rsid w:val="377A5B12"/>
    <w:rsid w:val="377C1BB1"/>
    <w:rsid w:val="37985E14"/>
    <w:rsid w:val="37A21255"/>
    <w:rsid w:val="37A44758"/>
    <w:rsid w:val="37B53757"/>
    <w:rsid w:val="37B91CDC"/>
    <w:rsid w:val="37C1473B"/>
    <w:rsid w:val="37C46F89"/>
    <w:rsid w:val="38004CA0"/>
    <w:rsid w:val="380769FB"/>
    <w:rsid w:val="38191151"/>
    <w:rsid w:val="38275880"/>
    <w:rsid w:val="38350577"/>
    <w:rsid w:val="38504871"/>
    <w:rsid w:val="38A0605F"/>
    <w:rsid w:val="38E803A8"/>
    <w:rsid w:val="38EE3475"/>
    <w:rsid w:val="39026893"/>
    <w:rsid w:val="39150C80"/>
    <w:rsid w:val="392400CC"/>
    <w:rsid w:val="39427FB7"/>
    <w:rsid w:val="396046AE"/>
    <w:rsid w:val="3995457E"/>
    <w:rsid w:val="399D24BE"/>
    <w:rsid w:val="39C037CE"/>
    <w:rsid w:val="3A2434F2"/>
    <w:rsid w:val="3A41763B"/>
    <w:rsid w:val="3A613B03"/>
    <w:rsid w:val="3A6A03E3"/>
    <w:rsid w:val="3A6A61E5"/>
    <w:rsid w:val="3A977FAE"/>
    <w:rsid w:val="3B535556"/>
    <w:rsid w:val="3BB9138A"/>
    <w:rsid w:val="3BB9456D"/>
    <w:rsid w:val="3BBA3009"/>
    <w:rsid w:val="3BE378F5"/>
    <w:rsid w:val="3BEE5FE1"/>
    <w:rsid w:val="3C8E70CE"/>
    <w:rsid w:val="3C9F4B00"/>
    <w:rsid w:val="3CA12F2C"/>
    <w:rsid w:val="3CBA2232"/>
    <w:rsid w:val="3CDF4CB0"/>
    <w:rsid w:val="3CF06E71"/>
    <w:rsid w:val="3CFF16A1"/>
    <w:rsid w:val="3D3D3705"/>
    <w:rsid w:val="3D974117"/>
    <w:rsid w:val="3DFB0640"/>
    <w:rsid w:val="3DFD3B43"/>
    <w:rsid w:val="3DFF21B6"/>
    <w:rsid w:val="3E2204FF"/>
    <w:rsid w:val="3E445EE7"/>
    <w:rsid w:val="3E5C73DF"/>
    <w:rsid w:val="3EA304D0"/>
    <w:rsid w:val="3EAD2662"/>
    <w:rsid w:val="3ED70090"/>
    <w:rsid w:val="3EE95283"/>
    <w:rsid w:val="3EFD58E4"/>
    <w:rsid w:val="3F2932B0"/>
    <w:rsid w:val="3F4D0EE6"/>
    <w:rsid w:val="3F617138"/>
    <w:rsid w:val="3F791475"/>
    <w:rsid w:val="3FE35148"/>
    <w:rsid w:val="3FF80051"/>
    <w:rsid w:val="40050695"/>
    <w:rsid w:val="402C0554"/>
    <w:rsid w:val="409B1E8D"/>
    <w:rsid w:val="40A44D1B"/>
    <w:rsid w:val="40BA6618"/>
    <w:rsid w:val="40CE6024"/>
    <w:rsid w:val="40DC0A21"/>
    <w:rsid w:val="41090967"/>
    <w:rsid w:val="412752F4"/>
    <w:rsid w:val="416706E8"/>
    <w:rsid w:val="419816C8"/>
    <w:rsid w:val="41C0096A"/>
    <w:rsid w:val="41D9598E"/>
    <w:rsid w:val="41E430EF"/>
    <w:rsid w:val="41E566E5"/>
    <w:rsid w:val="41F06F3B"/>
    <w:rsid w:val="42082BD3"/>
    <w:rsid w:val="42207159"/>
    <w:rsid w:val="422D5C84"/>
    <w:rsid w:val="432B4DF9"/>
    <w:rsid w:val="433E2FA0"/>
    <w:rsid w:val="434B6496"/>
    <w:rsid w:val="4370106E"/>
    <w:rsid w:val="43706133"/>
    <w:rsid w:val="4374600D"/>
    <w:rsid w:val="437E3DD9"/>
    <w:rsid w:val="43850656"/>
    <w:rsid w:val="43C27E3A"/>
    <w:rsid w:val="43ED0C7D"/>
    <w:rsid w:val="44150E3F"/>
    <w:rsid w:val="442D1D69"/>
    <w:rsid w:val="446864BA"/>
    <w:rsid w:val="44860B92"/>
    <w:rsid w:val="448F6B38"/>
    <w:rsid w:val="449157DF"/>
    <w:rsid w:val="44C2005E"/>
    <w:rsid w:val="44FA5C39"/>
    <w:rsid w:val="4511585F"/>
    <w:rsid w:val="451967DC"/>
    <w:rsid w:val="451A06ED"/>
    <w:rsid w:val="45487F37"/>
    <w:rsid w:val="456707FC"/>
    <w:rsid w:val="45786F28"/>
    <w:rsid w:val="458C1318"/>
    <w:rsid w:val="458C7E10"/>
    <w:rsid w:val="459615E8"/>
    <w:rsid w:val="4599483E"/>
    <w:rsid w:val="45AF0BE0"/>
    <w:rsid w:val="45BC2474"/>
    <w:rsid w:val="45BF6C7C"/>
    <w:rsid w:val="45D61696"/>
    <w:rsid w:val="45E246C5"/>
    <w:rsid w:val="45F33C53"/>
    <w:rsid w:val="45F9658B"/>
    <w:rsid w:val="46273087"/>
    <w:rsid w:val="46491918"/>
    <w:rsid w:val="464F0AEA"/>
    <w:rsid w:val="4670321D"/>
    <w:rsid w:val="467454A6"/>
    <w:rsid w:val="4683443C"/>
    <w:rsid w:val="46AC5600"/>
    <w:rsid w:val="46AE1026"/>
    <w:rsid w:val="46BA6803"/>
    <w:rsid w:val="46BC589A"/>
    <w:rsid w:val="46CB7287"/>
    <w:rsid w:val="46D95D61"/>
    <w:rsid w:val="46DC034D"/>
    <w:rsid w:val="46E25ADA"/>
    <w:rsid w:val="46EE736E"/>
    <w:rsid w:val="4725785E"/>
    <w:rsid w:val="47637E3F"/>
    <w:rsid w:val="47763877"/>
    <w:rsid w:val="47B1162A"/>
    <w:rsid w:val="47BD776F"/>
    <w:rsid w:val="48072039"/>
    <w:rsid w:val="481225CC"/>
    <w:rsid w:val="481A0E63"/>
    <w:rsid w:val="48246F41"/>
    <w:rsid w:val="482605D2"/>
    <w:rsid w:val="482977E8"/>
    <w:rsid w:val="48473849"/>
    <w:rsid w:val="48703FE7"/>
    <w:rsid w:val="488A1E97"/>
    <w:rsid w:val="488F3436"/>
    <w:rsid w:val="48B65E41"/>
    <w:rsid w:val="48C05FCB"/>
    <w:rsid w:val="48CE54F1"/>
    <w:rsid w:val="48F467BF"/>
    <w:rsid w:val="49230378"/>
    <w:rsid w:val="497918F9"/>
    <w:rsid w:val="499248EA"/>
    <w:rsid w:val="49A25BCB"/>
    <w:rsid w:val="49B30323"/>
    <w:rsid w:val="49B442EB"/>
    <w:rsid w:val="49E206F0"/>
    <w:rsid w:val="49ED0A13"/>
    <w:rsid w:val="49FA5F05"/>
    <w:rsid w:val="4A1C3CA2"/>
    <w:rsid w:val="4A2F4EC1"/>
    <w:rsid w:val="4A4A2E46"/>
    <w:rsid w:val="4A4D5AF6"/>
    <w:rsid w:val="4A6A31EE"/>
    <w:rsid w:val="4A8367BE"/>
    <w:rsid w:val="4AC07235"/>
    <w:rsid w:val="4AD00F76"/>
    <w:rsid w:val="4AF71178"/>
    <w:rsid w:val="4AFA2BF3"/>
    <w:rsid w:val="4B3E36B9"/>
    <w:rsid w:val="4B51409F"/>
    <w:rsid w:val="4BB50541"/>
    <w:rsid w:val="4BDE12D1"/>
    <w:rsid w:val="4BFE4A3F"/>
    <w:rsid w:val="4C010BFF"/>
    <w:rsid w:val="4C0628C9"/>
    <w:rsid w:val="4C2C2DD4"/>
    <w:rsid w:val="4C373098"/>
    <w:rsid w:val="4C4E6541"/>
    <w:rsid w:val="4C6F5EAC"/>
    <w:rsid w:val="4C711433"/>
    <w:rsid w:val="4C8E09C4"/>
    <w:rsid w:val="4C8E5CA5"/>
    <w:rsid w:val="4C9A4605"/>
    <w:rsid w:val="4CDB2FED"/>
    <w:rsid w:val="4CE36A34"/>
    <w:rsid w:val="4CEE3C29"/>
    <w:rsid w:val="4D0B68F4"/>
    <w:rsid w:val="4D3C2BCF"/>
    <w:rsid w:val="4D486759"/>
    <w:rsid w:val="4D4C2BE0"/>
    <w:rsid w:val="4D4F3B65"/>
    <w:rsid w:val="4D6875F5"/>
    <w:rsid w:val="4D730AD1"/>
    <w:rsid w:val="4D9F4BE9"/>
    <w:rsid w:val="4DA64574"/>
    <w:rsid w:val="4DCD36F5"/>
    <w:rsid w:val="4DE93C67"/>
    <w:rsid w:val="4DFF3CD5"/>
    <w:rsid w:val="4E0F0720"/>
    <w:rsid w:val="4E0F197F"/>
    <w:rsid w:val="4E143D10"/>
    <w:rsid w:val="4E1622A9"/>
    <w:rsid w:val="4E26491F"/>
    <w:rsid w:val="4E291BDA"/>
    <w:rsid w:val="4E737CCB"/>
    <w:rsid w:val="4E8A47E6"/>
    <w:rsid w:val="4EA6614E"/>
    <w:rsid w:val="4EB54731"/>
    <w:rsid w:val="4EB92835"/>
    <w:rsid w:val="4ECF52DB"/>
    <w:rsid w:val="4EF50DAC"/>
    <w:rsid w:val="4EFD30EC"/>
    <w:rsid w:val="4F026F2F"/>
    <w:rsid w:val="4F027B8A"/>
    <w:rsid w:val="4F2E4023"/>
    <w:rsid w:val="4F360182"/>
    <w:rsid w:val="4FB87457"/>
    <w:rsid w:val="4FE37A50"/>
    <w:rsid w:val="5008186C"/>
    <w:rsid w:val="500E7EE3"/>
    <w:rsid w:val="50120C66"/>
    <w:rsid w:val="50151149"/>
    <w:rsid w:val="506F5526"/>
    <w:rsid w:val="50703C8F"/>
    <w:rsid w:val="50734E46"/>
    <w:rsid w:val="509F3F6A"/>
    <w:rsid w:val="50A07EFB"/>
    <w:rsid w:val="50AC6DEA"/>
    <w:rsid w:val="50BF4786"/>
    <w:rsid w:val="50C67994"/>
    <w:rsid w:val="50F964EC"/>
    <w:rsid w:val="50FA10E8"/>
    <w:rsid w:val="511E3DF9"/>
    <w:rsid w:val="515771BE"/>
    <w:rsid w:val="51627FCC"/>
    <w:rsid w:val="518E4752"/>
    <w:rsid w:val="51FD35E2"/>
    <w:rsid w:val="51FE2F14"/>
    <w:rsid w:val="522A39D8"/>
    <w:rsid w:val="52436571"/>
    <w:rsid w:val="52553923"/>
    <w:rsid w:val="52775ED5"/>
    <w:rsid w:val="52A65B43"/>
    <w:rsid w:val="53395DD6"/>
    <w:rsid w:val="53522541"/>
    <w:rsid w:val="53CB6C53"/>
    <w:rsid w:val="53F322ED"/>
    <w:rsid w:val="53F342C8"/>
    <w:rsid w:val="53FF00DB"/>
    <w:rsid w:val="54440BD0"/>
    <w:rsid w:val="54691D09"/>
    <w:rsid w:val="546D344C"/>
    <w:rsid w:val="547A2023"/>
    <w:rsid w:val="547E642B"/>
    <w:rsid w:val="547E6491"/>
    <w:rsid w:val="54C6402E"/>
    <w:rsid w:val="54DD7AC9"/>
    <w:rsid w:val="54EF00D9"/>
    <w:rsid w:val="55273663"/>
    <w:rsid w:val="5528527B"/>
    <w:rsid w:val="552C52CA"/>
    <w:rsid w:val="553F0A67"/>
    <w:rsid w:val="5543746D"/>
    <w:rsid w:val="554D1082"/>
    <w:rsid w:val="557B2E4B"/>
    <w:rsid w:val="558A0EE7"/>
    <w:rsid w:val="55D36D5C"/>
    <w:rsid w:val="55D87468"/>
    <w:rsid w:val="56050830"/>
    <w:rsid w:val="56185B99"/>
    <w:rsid w:val="563C2B2A"/>
    <w:rsid w:val="565250AC"/>
    <w:rsid w:val="56527673"/>
    <w:rsid w:val="568C1E75"/>
    <w:rsid w:val="569E1CA8"/>
    <w:rsid w:val="56AC22C3"/>
    <w:rsid w:val="56AF3248"/>
    <w:rsid w:val="56B241CC"/>
    <w:rsid w:val="56D34701"/>
    <w:rsid w:val="57044ED0"/>
    <w:rsid w:val="572C4A6A"/>
    <w:rsid w:val="5758225C"/>
    <w:rsid w:val="57744DC1"/>
    <w:rsid w:val="577B12A6"/>
    <w:rsid w:val="57817D1D"/>
    <w:rsid w:val="578D6B5C"/>
    <w:rsid w:val="57B878AA"/>
    <w:rsid w:val="581A6C16"/>
    <w:rsid w:val="581C3508"/>
    <w:rsid w:val="581F083F"/>
    <w:rsid w:val="583C5053"/>
    <w:rsid w:val="588E49D7"/>
    <w:rsid w:val="58A6207E"/>
    <w:rsid w:val="58C779E0"/>
    <w:rsid w:val="5900083D"/>
    <w:rsid w:val="590939D8"/>
    <w:rsid w:val="593041E0"/>
    <w:rsid w:val="593C3876"/>
    <w:rsid w:val="59440C53"/>
    <w:rsid w:val="59662326"/>
    <w:rsid w:val="598D2303"/>
    <w:rsid w:val="59972C8B"/>
    <w:rsid w:val="59AA180E"/>
    <w:rsid w:val="59BC7647"/>
    <w:rsid w:val="59DC20FA"/>
    <w:rsid w:val="59ED5C18"/>
    <w:rsid w:val="5A0F1650"/>
    <w:rsid w:val="5A10384E"/>
    <w:rsid w:val="5A276CF7"/>
    <w:rsid w:val="5A2C317E"/>
    <w:rsid w:val="5A381074"/>
    <w:rsid w:val="5A735AF1"/>
    <w:rsid w:val="5A8F0472"/>
    <w:rsid w:val="5AA8754C"/>
    <w:rsid w:val="5AC2009D"/>
    <w:rsid w:val="5AC20C4F"/>
    <w:rsid w:val="5AC4231D"/>
    <w:rsid w:val="5AD36E0F"/>
    <w:rsid w:val="5AD90D18"/>
    <w:rsid w:val="5AE470AA"/>
    <w:rsid w:val="5AEC7D39"/>
    <w:rsid w:val="5B15697F"/>
    <w:rsid w:val="5B1F3A0B"/>
    <w:rsid w:val="5B386B34"/>
    <w:rsid w:val="5B467C9F"/>
    <w:rsid w:val="5B522F61"/>
    <w:rsid w:val="5B795D76"/>
    <w:rsid w:val="5B8A693E"/>
    <w:rsid w:val="5B947E01"/>
    <w:rsid w:val="5B977D62"/>
    <w:rsid w:val="5BE96957"/>
    <w:rsid w:val="5BEB0FA9"/>
    <w:rsid w:val="5C0E5A4D"/>
    <w:rsid w:val="5C2E164A"/>
    <w:rsid w:val="5C585CCF"/>
    <w:rsid w:val="5C620C22"/>
    <w:rsid w:val="5CA70E05"/>
    <w:rsid w:val="5CA81314"/>
    <w:rsid w:val="5CB62696"/>
    <w:rsid w:val="5CC559B5"/>
    <w:rsid w:val="5D080C0E"/>
    <w:rsid w:val="5D663A8A"/>
    <w:rsid w:val="5D86767D"/>
    <w:rsid w:val="5D946993"/>
    <w:rsid w:val="5DBD55D9"/>
    <w:rsid w:val="5DBF0ADC"/>
    <w:rsid w:val="5DE01011"/>
    <w:rsid w:val="5DE55498"/>
    <w:rsid w:val="5DEA6FA7"/>
    <w:rsid w:val="5DF16D2C"/>
    <w:rsid w:val="5DFE0A13"/>
    <w:rsid w:val="5E0C5358"/>
    <w:rsid w:val="5E127261"/>
    <w:rsid w:val="5E7423B8"/>
    <w:rsid w:val="5E973AB9"/>
    <w:rsid w:val="5ECA7162"/>
    <w:rsid w:val="5ECF7958"/>
    <w:rsid w:val="5F1C2F97"/>
    <w:rsid w:val="5F20741E"/>
    <w:rsid w:val="5F2E1E40"/>
    <w:rsid w:val="5F3D5AEC"/>
    <w:rsid w:val="5FAC39E6"/>
    <w:rsid w:val="5FB0173E"/>
    <w:rsid w:val="5FC6342F"/>
    <w:rsid w:val="5FCB3585"/>
    <w:rsid w:val="5FE97330"/>
    <w:rsid w:val="5FED69E2"/>
    <w:rsid w:val="5FFB5E88"/>
    <w:rsid w:val="600C1E2A"/>
    <w:rsid w:val="604932D6"/>
    <w:rsid w:val="60705E47"/>
    <w:rsid w:val="60894FC5"/>
    <w:rsid w:val="609365D5"/>
    <w:rsid w:val="60A14817"/>
    <w:rsid w:val="60A74669"/>
    <w:rsid w:val="60C53352"/>
    <w:rsid w:val="60E45E05"/>
    <w:rsid w:val="60ED0C93"/>
    <w:rsid w:val="61671380"/>
    <w:rsid w:val="61821187"/>
    <w:rsid w:val="61A62640"/>
    <w:rsid w:val="61C412B3"/>
    <w:rsid w:val="621A4D5C"/>
    <w:rsid w:val="624F6FB4"/>
    <w:rsid w:val="626C241F"/>
    <w:rsid w:val="62716891"/>
    <w:rsid w:val="62861BEF"/>
    <w:rsid w:val="62B13DF7"/>
    <w:rsid w:val="62D77B68"/>
    <w:rsid w:val="62D81AC9"/>
    <w:rsid w:val="62E62066"/>
    <w:rsid w:val="63743804"/>
    <w:rsid w:val="63745292"/>
    <w:rsid w:val="63CE0515"/>
    <w:rsid w:val="63E61C76"/>
    <w:rsid w:val="64002820"/>
    <w:rsid w:val="642C560A"/>
    <w:rsid w:val="646003CC"/>
    <w:rsid w:val="64A93F32"/>
    <w:rsid w:val="650023C2"/>
    <w:rsid w:val="65037709"/>
    <w:rsid w:val="650547C3"/>
    <w:rsid w:val="652046CA"/>
    <w:rsid w:val="65274800"/>
    <w:rsid w:val="65333E96"/>
    <w:rsid w:val="653F2181"/>
    <w:rsid w:val="65474D35"/>
    <w:rsid w:val="65630353"/>
    <w:rsid w:val="656C07EC"/>
    <w:rsid w:val="656D49BB"/>
    <w:rsid w:val="658B4525"/>
    <w:rsid w:val="65AC4A59"/>
    <w:rsid w:val="65AF4B51"/>
    <w:rsid w:val="65BA255C"/>
    <w:rsid w:val="65F305AC"/>
    <w:rsid w:val="66560D21"/>
    <w:rsid w:val="66562CF4"/>
    <w:rsid w:val="66765063"/>
    <w:rsid w:val="66775427"/>
    <w:rsid w:val="66B21D89"/>
    <w:rsid w:val="66D230B3"/>
    <w:rsid w:val="66D91C48"/>
    <w:rsid w:val="66F150F1"/>
    <w:rsid w:val="67416175"/>
    <w:rsid w:val="677E3198"/>
    <w:rsid w:val="67955488"/>
    <w:rsid w:val="67B2192C"/>
    <w:rsid w:val="67CC4CFC"/>
    <w:rsid w:val="67F91A97"/>
    <w:rsid w:val="681F56A7"/>
    <w:rsid w:val="68251C6A"/>
    <w:rsid w:val="6832115E"/>
    <w:rsid w:val="683D2B94"/>
    <w:rsid w:val="68644FD2"/>
    <w:rsid w:val="68692F0D"/>
    <w:rsid w:val="689D2361"/>
    <w:rsid w:val="68B63758"/>
    <w:rsid w:val="68DB2693"/>
    <w:rsid w:val="691937FC"/>
    <w:rsid w:val="69231C16"/>
    <w:rsid w:val="692D6C1A"/>
    <w:rsid w:val="69473047"/>
    <w:rsid w:val="694E0453"/>
    <w:rsid w:val="69546BBA"/>
    <w:rsid w:val="699E5C54"/>
    <w:rsid w:val="69A17166"/>
    <w:rsid w:val="69FE0814"/>
    <w:rsid w:val="6A0E4BD5"/>
    <w:rsid w:val="6A1A2AB4"/>
    <w:rsid w:val="6A3377CC"/>
    <w:rsid w:val="6A6B56ED"/>
    <w:rsid w:val="6A961A6F"/>
    <w:rsid w:val="6A9B40F1"/>
    <w:rsid w:val="6AAB6191"/>
    <w:rsid w:val="6AAF2C79"/>
    <w:rsid w:val="6B176EF2"/>
    <w:rsid w:val="6B1A154F"/>
    <w:rsid w:val="6B1B53DA"/>
    <w:rsid w:val="6B437609"/>
    <w:rsid w:val="6B9A0018"/>
    <w:rsid w:val="6B9C7C98"/>
    <w:rsid w:val="6BA342B8"/>
    <w:rsid w:val="6BF74B2E"/>
    <w:rsid w:val="6C0E195D"/>
    <w:rsid w:val="6C3B431E"/>
    <w:rsid w:val="6C547446"/>
    <w:rsid w:val="6C8F0C6F"/>
    <w:rsid w:val="6C8F3DA8"/>
    <w:rsid w:val="6C955CB1"/>
    <w:rsid w:val="6C9846B8"/>
    <w:rsid w:val="6CAA23D4"/>
    <w:rsid w:val="6D062CAF"/>
    <w:rsid w:val="6D1B140E"/>
    <w:rsid w:val="6D446D4F"/>
    <w:rsid w:val="6D4C4AA7"/>
    <w:rsid w:val="6D760823"/>
    <w:rsid w:val="6DA01667"/>
    <w:rsid w:val="6DBD702A"/>
    <w:rsid w:val="6E584699"/>
    <w:rsid w:val="6E7A264F"/>
    <w:rsid w:val="6E950C7A"/>
    <w:rsid w:val="6E9C08BF"/>
    <w:rsid w:val="6EC62FB1"/>
    <w:rsid w:val="6ECD2B40"/>
    <w:rsid w:val="6ED74F7D"/>
    <w:rsid w:val="6ED83ADE"/>
    <w:rsid w:val="6EFB7725"/>
    <w:rsid w:val="6F033634"/>
    <w:rsid w:val="6F196CD5"/>
    <w:rsid w:val="6F4C24CA"/>
    <w:rsid w:val="6FE860A9"/>
    <w:rsid w:val="70340726"/>
    <w:rsid w:val="7040059E"/>
    <w:rsid w:val="705047D3"/>
    <w:rsid w:val="706E3D83"/>
    <w:rsid w:val="70714D08"/>
    <w:rsid w:val="708D1FBE"/>
    <w:rsid w:val="70945280"/>
    <w:rsid w:val="709829C9"/>
    <w:rsid w:val="709931B5"/>
    <w:rsid w:val="709C35CE"/>
    <w:rsid w:val="70AE218B"/>
    <w:rsid w:val="70D10C83"/>
    <w:rsid w:val="70F91769"/>
    <w:rsid w:val="71282E3A"/>
    <w:rsid w:val="715D2793"/>
    <w:rsid w:val="717B0A3E"/>
    <w:rsid w:val="717F1642"/>
    <w:rsid w:val="71BD0E67"/>
    <w:rsid w:val="71D96859"/>
    <w:rsid w:val="71FB0F8C"/>
    <w:rsid w:val="72307267"/>
    <w:rsid w:val="72461EA0"/>
    <w:rsid w:val="724C46B5"/>
    <w:rsid w:val="725B22AA"/>
    <w:rsid w:val="72665DB0"/>
    <w:rsid w:val="72AB2B5F"/>
    <w:rsid w:val="72AF1D34"/>
    <w:rsid w:val="72BB508B"/>
    <w:rsid w:val="72D71D5D"/>
    <w:rsid w:val="730E21E9"/>
    <w:rsid w:val="731C016A"/>
    <w:rsid w:val="732E4CE0"/>
    <w:rsid w:val="73B2606F"/>
    <w:rsid w:val="73BC69EE"/>
    <w:rsid w:val="73DC28E6"/>
    <w:rsid w:val="73E837BE"/>
    <w:rsid w:val="73E907B7"/>
    <w:rsid w:val="74077D67"/>
    <w:rsid w:val="74083310"/>
    <w:rsid w:val="740A456F"/>
    <w:rsid w:val="74186384"/>
    <w:rsid w:val="742773AC"/>
    <w:rsid w:val="74541785"/>
    <w:rsid w:val="745B3449"/>
    <w:rsid w:val="747F51BA"/>
    <w:rsid w:val="749360B7"/>
    <w:rsid w:val="74A878F0"/>
    <w:rsid w:val="74C95E69"/>
    <w:rsid w:val="74F03A1B"/>
    <w:rsid w:val="75177233"/>
    <w:rsid w:val="751B7A14"/>
    <w:rsid w:val="7523723A"/>
    <w:rsid w:val="752949C6"/>
    <w:rsid w:val="754D5E80"/>
    <w:rsid w:val="75564822"/>
    <w:rsid w:val="75855792"/>
    <w:rsid w:val="758A4D74"/>
    <w:rsid w:val="75D315DC"/>
    <w:rsid w:val="75E55B0A"/>
    <w:rsid w:val="760630B0"/>
    <w:rsid w:val="7620062A"/>
    <w:rsid w:val="7668404E"/>
    <w:rsid w:val="767E698C"/>
    <w:rsid w:val="768A3370"/>
    <w:rsid w:val="768B7C21"/>
    <w:rsid w:val="76931A1A"/>
    <w:rsid w:val="76B6490C"/>
    <w:rsid w:val="76BB5E2E"/>
    <w:rsid w:val="76C042EB"/>
    <w:rsid w:val="76EC21B6"/>
    <w:rsid w:val="76F06A3D"/>
    <w:rsid w:val="77153DAC"/>
    <w:rsid w:val="772147F9"/>
    <w:rsid w:val="7731096F"/>
    <w:rsid w:val="77432AB8"/>
    <w:rsid w:val="77691B90"/>
    <w:rsid w:val="776A48DF"/>
    <w:rsid w:val="77B053F8"/>
    <w:rsid w:val="77C66B38"/>
    <w:rsid w:val="7809377A"/>
    <w:rsid w:val="7886104E"/>
    <w:rsid w:val="789D5EC9"/>
    <w:rsid w:val="78A371FC"/>
    <w:rsid w:val="78AE558D"/>
    <w:rsid w:val="78B8391E"/>
    <w:rsid w:val="78BF01A3"/>
    <w:rsid w:val="78C054A7"/>
    <w:rsid w:val="78C12F29"/>
    <w:rsid w:val="78EE28B2"/>
    <w:rsid w:val="79003D12"/>
    <w:rsid w:val="790D0E29"/>
    <w:rsid w:val="792E07D7"/>
    <w:rsid w:val="794426CD"/>
    <w:rsid w:val="794F3353"/>
    <w:rsid w:val="795B5794"/>
    <w:rsid w:val="795B69AA"/>
    <w:rsid w:val="79646BA0"/>
    <w:rsid w:val="798D57E2"/>
    <w:rsid w:val="79C23DD0"/>
    <w:rsid w:val="79D06969"/>
    <w:rsid w:val="7A4A4FAE"/>
    <w:rsid w:val="7A501BF5"/>
    <w:rsid w:val="7A5172F2"/>
    <w:rsid w:val="7A8D259F"/>
    <w:rsid w:val="7AE00762"/>
    <w:rsid w:val="7AE76131"/>
    <w:rsid w:val="7B417AC4"/>
    <w:rsid w:val="7B610ADC"/>
    <w:rsid w:val="7B731550"/>
    <w:rsid w:val="7B743797"/>
    <w:rsid w:val="7B7F2E2C"/>
    <w:rsid w:val="7BB554CB"/>
    <w:rsid w:val="7C132602"/>
    <w:rsid w:val="7C181D26"/>
    <w:rsid w:val="7C467372"/>
    <w:rsid w:val="7C5F2AAA"/>
    <w:rsid w:val="7C626DFD"/>
    <w:rsid w:val="7C640B20"/>
    <w:rsid w:val="7C6565A2"/>
    <w:rsid w:val="7C793CCE"/>
    <w:rsid w:val="7C9B6A7C"/>
    <w:rsid w:val="7C9D1F7F"/>
    <w:rsid w:val="7CC54732"/>
    <w:rsid w:val="7CEF4308"/>
    <w:rsid w:val="7D5034A4"/>
    <w:rsid w:val="7DA52817"/>
    <w:rsid w:val="7DA8642D"/>
    <w:rsid w:val="7DDB7408"/>
    <w:rsid w:val="7DF228B1"/>
    <w:rsid w:val="7DF96BBA"/>
    <w:rsid w:val="7E2A233F"/>
    <w:rsid w:val="7E320E42"/>
    <w:rsid w:val="7E9A6771"/>
    <w:rsid w:val="7EBF4902"/>
    <w:rsid w:val="7EC2155B"/>
    <w:rsid w:val="7ED63672"/>
    <w:rsid w:val="7EF768DB"/>
    <w:rsid w:val="7F227FDF"/>
    <w:rsid w:val="7F2E4641"/>
    <w:rsid w:val="7F346740"/>
    <w:rsid w:val="7F6928C9"/>
    <w:rsid w:val="7F743EFE"/>
    <w:rsid w:val="7F820A3E"/>
    <w:rsid w:val="7FA104C4"/>
    <w:rsid w:val="7FBA789B"/>
    <w:rsid w:val="7FBC791E"/>
    <w:rsid w:val="7FC44D2A"/>
    <w:rsid w:val="7FFB537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tabs>
        <w:tab w:val="left" w:pos="432"/>
      </w:tabs>
      <w:spacing w:before="560" w:after="320" w:line="360" w:lineRule="auto"/>
      <w:jc w:val="center"/>
      <w:outlineLvl w:val="0"/>
    </w:pPr>
    <w:rPr>
      <w:rFonts w:eastAsia="方正黑体_GBK"/>
      <w:bCs/>
      <w:kern w:val="44"/>
      <w:sz w:val="32"/>
      <w:szCs w:val="44"/>
    </w:rPr>
  </w:style>
  <w:style w:type="paragraph" w:styleId="4">
    <w:name w:val="heading 2"/>
    <w:basedOn w:val="1"/>
    <w:next w:val="1"/>
    <w:link w:val="34"/>
    <w:qFormat/>
    <w:uiPriority w:val="0"/>
    <w:pPr>
      <w:numPr>
        <w:ilvl w:val="1"/>
        <w:numId w:val="1"/>
      </w:numPr>
      <w:tabs>
        <w:tab w:val="left" w:pos="851"/>
      </w:tabs>
      <w:outlineLvl w:val="1"/>
    </w:pPr>
    <w:rPr>
      <w:rFonts w:eastAsia="方正黑体_GBK"/>
      <w:sz w:val="32"/>
      <w:szCs w:val="32"/>
    </w:rPr>
  </w:style>
  <w:style w:type="paragraph" w:styleId="5">
    <w:name w:val="heading 3"/>
    <w:basedOn w:val="4"/>
    <w:next w:val="1"/>
    <w:link w:val="30"/>
    <w:qFormat/>
    <w:uiPriority w:val="0"/>
    <w:pPr>
      <w:tabs>
        <w:tab w:val="left" w:pos="720"/>
      </w:tabs>
      <w:outlineLvl w:val="2"/>
    </w:pPr>
  </w:style>
  <w:style w:type="paragraph" w:styleId="6">
    <w:name w:val="heading 4"/>
    <w:basedOn w:val="1"/>
    <w:next w:val="1"/>
    <w:qFormat/>
    <w:uiPriority w:val="0"/>
    <w:pPr>
      <w:tabs>
        <w:tab w:val="left" w:pos="720"/>
        <w:tab w:val="left" w:pos="864"/>
      </w:tabs>
      <w:ind w:left="864" w:hanging="864"/>
      <w:outlineLvl w:val="3"/>
    </w:pPr>
    <w:rPr>
      <w:rFonts w:hAnsi="Arial"/>
    </w:rPr>
  </w:style>
  <w:style w:type="paragraph" w:styleId="7">
    <w:name w:val="heading 5"/>
    <w:basedOn w:val="1"/>
    <w:next w:val="1"/>
    <w:unhideWhenUsed/>
    <w:qFormat/>
    <w:uiPriority w:val="0"/>
    <w:pPr>
      <w:tabs>
        <w:tab w:val="left" w:pos="720"/>
        <w:tab w:val="left" w:pos="864"/>
      </w:tabs>
      <w:ind w:left="0" w:firstLine="0"/>
      <w:outlineLvl w:val="4"/>
    </w:pPr>
  </w:style>
  <w:style w:type="character" w:default="1" w:styleId="20">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8">
    <w:name w:val="Normal Indent"/>
    <w:basedOn w:val="1"/>
    <w:qFormat/>
    <w:uiPriority w:val="0"/>
    <w:pPr>
      <w:ind w:firstLine="420"/>
    </w:pPr>
    <w:rPr>
      <w:szCs w:val="20"/>
    </w:rPr>
  </w:style>
  <w:style w:type="paragraph" w:styleId="9">
    <w:name w:val="annotation text"/>
    <w:basedOn w:val="1"/>
    <w:unhideWhenUsed/>
    <w:qFormat/>
    <w:uiPriority w:val="99"/>
    <w:pPr>
      <w:adjustRightInd w:val="0"/>
      <w:snapToGrid w:val="0"/>
      <w:spacing w:line="360" w:lineRule="auto"/>
      <w:ind w:left="900" w:hanging="420"/>
      <w:jc w:val="left"/>
    </w:pPr>
    <w:rPr>
      <w:rFonts w:ascii="仿宋_GB2312" w:hAnsi="微软雅黑" w:eastAsia="仿宋_GB2312"/>
      <w:sz w:val="24"/>
      <w:szCs w:val="21"/>
    </w:rPr>
  </w:style>
  <w:style w:type="paragraph" w:styleId="10">
    <w:name w:val="Body Text"/>
    <w:basedOn w:val="1"/>
    <w:next w:val="1"/>
    <w:qFormat/>
    <w:uiPriority w:val="0"/>
    <w:rPr>
      <w:rFonts w:ascii="仿宋_GB2312" w:eastAsia="仿宋_GB2312"/>
      <w:sz w:val="32"/>
    </w:rPr>
  </w:style>
  <w:style w:type="paragraph" w:styleId="11">
    <w:name w:val="Body Text Indent"/>
    <w:basedOn w:val="1"/>
    <w:qFormat/>
    <w:uiPriority w:val="0"/>
    <w:pPr>
      <w:spacing w:after="120"/>
      <w:ind w:left="420" w:leftChars="200"/>
    </w:pPr>
  </w:style>
  <w:style w:type="paragraph" w:styleId="12">
    <w:name w:val="toc 3"/>
    <w:basedOn w:val="1"/>
    <w:next w:val="1"/>
    <w:qFormat/>
    <w:uiPriority w:val="39"/>
    <w:pPr>
      <w:ind w:left="840" w:leftChars="400"/>
    </w:p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Body Text First Indent 2"/>
    <w:basedOn w:val="11"/>
    <w:qFormat/>
    <w:uiPriority w:val="0"/>
    <w:pPr>
      <w:ind w:firstLine="420" w:firstLineChars="200"/>
    </w:p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Body Text 2"/>
    <w:basedOn w:val="1"/>
    <w:qFormat/>
    <w:uiPriority w:val="0"/>
    <w:pPr>
      <w:adjustRightInd w:val="0"/>
      <w:spacing w:after="120" w:line="480" w:lineRule="auto"/>
      <w:jc w:val="left"/>
      <w:textAlignment w:val="baseline"/>
    </w:pPr>
    <w:rPr>
      <w:kern w:val="0"/>
      <w:sz w:val="24"/>
    </w:rPr>
  </w:style>
  <w:style w:type="paragraph" w:styleId="19">
    <w:name w:val="Normal (Web)"/>
    <w:basedOn w:val="1"/>
    <w:qFormat/>
    <w:uiPriority w:val="0"/>
    <w:pPr>
      <w:widowControl/>
      <w:spacing w:before="100" w:beforeAutospacing="1" w:after="100" w:afterAutospacing="1" w:line="276" w:lineRule="auto"/>
      <w:jc w:val="left"/>
    </w:pPr>
    <w:rPr>
      <w:rFonts w:ascii="宋体" w:hAnsi="宋体"/>
      <w:kern w:val="0"/>
      <w:sz w:val="24"/>
      <w:szCs w:val="22"/>
      <w:lang w:eastAsia="en-US"/>
    </w:rPr>
  </w:style>
  <w:style w:type="character" w:styleId="21">
    <w:name w:val="Hyperlink"/>
    <w:basedOn w:val="20"/>
    <w:qFormat/>
    <w:uiPriority w:val="0"/>
    <w:rPr>
      <w:color w:val="0000FF"/>
      <w:u w:val="single"/>
    </w:rPr>
  </w:style>
  <w:style w:type="character" w:styleId="22">
    <w:name w:val="annotation reference"/>
    <w:qFormat/>
    <w:uiPriority w:val="0"/>
    <w:rPr>
      <w:sz w:val="21"/>
      <w:szCs w:val="21"/>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AONormal"/>
    <w:qFormat/>
    <w:uiPriority w:val="0"/>
    <w:pPr>
      <w:spacing w:line="260" w:lineRule="atLeast"/>
    </w:pPr>
    <w:rPr>
      <w:rFonts w:ascii="Times New Roman" w:hAnsi="Times New Roman" w:eastAsia="宋体" w:cs="Times New Roman"/>
      <w:sz w:val="22"/>
      <w:szCs w:val="22"/>
      <w:lang w:val="en-GB" w:eastAsia="zh-CN" w:bidi="ar-SA"/>
    </w:rPr>
  </w:style>
  <w:style w:type="paragraph" w:customStyle="1" w:styleId="26">
    <w:name w:val="列表段落1"/>
    <w:basedOn w:val="1"/>
    <w:qFormat/>
    <w:uiPriority w:val="34"/>
    <w:pPr>
      <w:ind w:firstLine="420" w:firstLineChars="200"/>
    </w:pPr>
  </w:style>
  <w:style w:type="paragraph" w:customStyle="1" w:styleId="27">
    <w:name w:val="正文（绿盟科技）"/>
    <w:basedOn w:val="1"/>
    <w:qFormat/>
    <w:uiPriority w:val="0"/>
    <w:pPr>
      <w:widowControl/>
      <w:spacing w:line="300" w:lineRule="auto"/>
      <w:jc w:val="left"/>
    </w:pPr>
    <w:rPr>
      <w:rFonts w:ascii="Arial" w:hAnsi="Arial"/>
      <w:kern w:val="0"/>
      <w:szCs w:val="21"/>
    </w:rPr>
  </w:style>
  <w:style w:type="paragraph" w:customStyle="1" w:styleId="28">
    <w:name w:val="列表段落2"/>
    <w:basedOn w:val="1"/>
    <w:qFormat/>
    <w:uiPriority w:val="99"/>
    <w:pPr>
      <w:ind w:firstLine="420" w:firstLineChars="200"/>
    </w:pPr>
  </w:style>
  <w:style w:type="paragraph" w:customStyle="1" w:styleId="29">
    <w:name w:val="正文（首行缩进2字符）"/>
    <w:qFormat/>
    <w:uiPriority w:val="0"/>
    <w:pPr>
      <w:widowControl w:val="0"/>
      <w:ind w:firstLine="480"/>
      <w:jc w:val="both"/>
    </w:pPr>
    <w:rPr>
      <w:rFonts w:ascii="Calibri" w:hAnsi="Calibri" w:eastAsia="Calibri" w:cs="Calibri"/>
      <w:color w:val="000000"/>
      <w:kern w:val="2"/>
      <w:sz w:val="21"/>
      <w:szCs w:val="21"/>
      <w:lang w:val="en-US" w:eastAsia="zh-CN" w:bidi="ar-SA"/>
    </w:rPr>
  </w:style>
  <w:style w:type="character" w:customStyle="1" w:styleId="30">
    <w:name w:val="标题 3 字符"/>
    <w:basedOn w:val="20"/>
    <w:link w:val="5"/>
    <w:qFormat/>
    <w:uiPriority w:val="0"/>
    <w:rPr>
      <w:rFonts w:hint="default" w:ascii="Calibri" w:hAnsi="Calibri" w:eastAsia="宋体" w:cs="Times New Roman"/>
      <w:b/>
      <w:bCs/>
      <w:kern w:val="2"/>
      <w:sz w:val="32"/>
      <w:szCs w:val="32"/>
    </w:rPr>
  </w:style>
  <w:style w:type="character" w:customStyle="1" w:styleId="31">
    <w:name w:val="标题 1 字符"/>
    <w:link w:val="3"/>
    <w:qFormat/>
    <w:uiPriority w:val="9"/>
    <w:rPr>
      <w:rFonts w:eastAsia="方正黑体_GBK"/>
      <w:bCs/>
      <w:kern w:val="44"/>
      <w:sz w:val="32"/>
      <w:szCs w:val="44"/>
    </w:rPr>
  </w:style>
  <w:style w:type="character" w:customStyle="1" w:styleId="32">
    <w:name w:val="font01"/>
    <w:basedOn w:val="20"/>
    <w:qFormat/>
    <w:uiPriority w:val="0"/>
    <w:rPr>
      <w:rFonts w:hint="eastAsia" w:ascii="宋体" w:hAnsi="宋体" w:eastAsia="宋体" w:cs="宋体"/>
      <w:color w:val="000000"/>
      <w:sz w:val="22"/>
      <w:szCs w:val="22"/>
      <w:u w:val="none"/>
    </w:rPr>
  </w:style>
  <w:style w:type="character" w:customStyle="1" w:styleId="33">
    <w:name w:val="font31"/>
    <w:basedOn w:val="20"/>
    <w:qFormat/>
    <w:uiPriority w:val="0"/>
    <w:rPr>
      <w:rFonts w:hint="default" w:ascii="Segoe UI" w:hAnsi="Segoe UI" w:eastAsia="Segoe UI" w:cs="Segoe UI"/>
      <w:color w:val="000000"/>
      <w:sz w:val="22"/>
      <w:szCs w:val="22"/>
      <w:u w:val="none"/>
    </w:rPr>
  </w:style>
  <w:style w:type="character" w:customStyle="1" w:styleId="34">
    <w:name w:val="标题 2 字符"/>
    <w:basedOn w:val="20"/>
    <w:link w:val="4"/>
    <w:qFormat/>
    <w:uiPriority w:val="0"/>
    <w:rPr>
      <w:rFonts w:eastAsia="方正黑体_GBK"/>
      <w:sz w:val="32"/>
      <w:szCs w:val="32"/>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List Paragraph"/>
    <w:basedOn w:val="1"/>
    <w:qFormat/>
    <w:uiPriority w:val="34"/>
    <w:pPr>
      <w:ind w:firstLine="420" w:firstLineChars="200"/>
    </w:pPr>
  </w:style>
  <w:style w:type="paragraph" w:customStyle="1" w:styleId="37">
    <w:name w:val="列出段落2"/>
    <w:basedOn w:val="1"/>
    <w:qFormat/>
    <w:uiPriority w:val="34"/>
    <w:pPr>
      <w:ind w:firstLine="420" w:firstLineChars="200"/>
    </w:pPr>
    <w:rPr>
      <w:rFonts w:ascii="等线" w:hAnsi="等线" w:eastAsia="等线" w:cs="Times New Roman"/>
      <w:szCs w:val="22"/>
    </w:rPr>
  </w:style>
  <w:style w:type="character" w:customStyle="1" w:styleId="38">
    <w:name w:val="fontstyle01"/>
    <w:basedOn w:val="20"/>
    <w:qFormat/>
    <w:uiPriority w:val="0"/>
    <w:rPr>
      <w:rFonts w:ascii="FZFSK--GBK1-0" w:hAnsi="FZFSK--GBK1-0" w:eastAsia="FZFSK--GBK1-0" w:cs="FZFSK--GBK1-0"/>
      <w:color w:val="000000"/>
      <w:sz w:val="32"/>
      <w:szCs w:val="32"/>
    </w:rPr>
  </w:style>
  <w:style w:type="character" w:customStyle="1" w:styleId="39">
    <w:name w:val="fontstyle21"/>
    <w:basedOn w:val="20"/>
    <w:qFormat/>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13158</Words>
  <Characters>13788</Characters>
  <Lines>124</Lines>
  <Paragraphs>34</Paragraphs>
  <ScaleCrop>false</ScaleCrop>
  <LinksUpToDate>false</LinksUpToDate>
  <CharactersWithSpaces>17782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2022-05-11T04:00:00Z</dcterms:created>
  <dc:creator>憨憨</dc:creator>
  <cp:lastModifiedBy>user</cp:lastModifiedBy>
  <cp:lastPrinted>2023-03-24T01:52:00Z</cp:lastPrinted>
  <dcterms:modified xsi:type="dcterms:W3CDTF">2023-05-08T01:15:37Z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A1D37A32E77C431280B21E9867C9FE59</vt:lpwstr>
  </property>
</Properties>
</file>